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400" w:before="2400" w:lineRule="auto"/>
        <w:jc w:val="center"/>
        <w:rPr/>
      </w:pPr>
      <w:r w:rsidDel="00000000" w:rsidR="00000000" w:rsidRPr="00000000">
        <w:rPr>
          <w:rFonts w:ascii="Tahoma" w:cs="Tahoma" w:eastAsia="Tahoma" w:hAnsi="Tahoma"/>
          <w:b w:val="1"/>
          <w:bCs w:val="1"/>
          <w:color w:val="000000"/>
          <w:sz w:val="36"/>
          <w:szCs w:val="36"/>
          <w:rtl w:val="0"/>
        </w:rPr>
        <w:t xml:space="preserve">SOLICITUD CONCESIÓN DE AGUAS SUBTERRÁNEAS</w:t>
      </w:r>
      <w:r w:rsidDel="00000000" w:rsidR="00000000" w:rsidRPr="00000000">
        <w:rPr>
          <w:rtl w:val="0"/>
        </w:rPr>
      </w:r>
    </w:p>
    <w:p w:rsidR="00000000" w:rsidDel="00000000" w:rsidP="00000000" w:rsidRDefault="00000000" w:rsidRPr="00000000" w14:paraId="00000002">
      <w:pPr>
        <w:spacing w:after="200" w:lineRule="auto"/>
        <w:jc w:val="center"/>
        <w:rPr/>
      </w:pPr>
      <w:r w:rsidDel="00000000" w:rsidR="00000000" w:rsidRPr="00000000">
        <w:rPr>
          <w:rFonts w:ascii="Tahoma" w:cs="Tahoma" w:eastAsia="Tahoma" w:hAnsi="Tahoma"/>
          <w:b w:val="1"/>
          <w:bCs w:val="1"/>
          <w:color w:val="000000"/>
          <w:sz w:val="36"/>
          <w:szCs w:val="36"/>
          <w:rtl w:val="0"/>
        </w:rPr>
        <w:t xml:space="preserve">GENERALIDADES</w:t>
      </w:r>
      <w:r w:rsidDel="00000000" w:rsidR="00000000" w:rsidRPr="00000000">
        <w:rPr>
          <w:rtl w:val="0"/>
        </w:rPr>
      </w:r>
    </w:p>
    <w:p w:rsidR="00000000" w:rsidDel="00000000" w:rsidP="00000000" w:rsidRDefault="00000000" w:rsidRPr="00000000" w14:paraId="00000003">
      <w:pPr>
        <w:spacing w:after="200" w:before="1200" w:lineRule="auto"/>
        <w:jc w:val="center"/>
        <w:rPr/>
      </w:pPr>
      <w:r w:rsidDel="00000000" w:rsidR="00000000" w:rsidRPr="00000000">
        <w:rPr>
          <w:rFonts w:ascii="Tahoma" w:cs="Tahoma" w:eastAsia="Tahoma" w:hAnsi="Tahoma"/>
          <w:b w:val="1"/>
          <w:bCs w:val="1"/>
          <w:color w:val="000000"/>
          <w:sz w:val="32"/>
          <w:szCs w:val="32"/>
          <w:rtl w:val="0"/>
        </w:rPr>
        <w:t xml:space="preserve">Granja Avícola Jamaica</w:t>
      </w:r>
      <w:r w:rsidDel="00000000" w:rsidR="00000000" w:rsidRPr="00000000">
        <w:rPr>
          <w:rtl w:val="0"/>
        </w:rPr>
      </w:r>
    </w:p>
    <w:p w:rsidR="00000000" w:rsidDel="00000000" w:rsidP="00000000" w:rsidRDefault="00000000" w:rsidRPr="00000000" w14:paraId="00000004">
      <w:pPr>
        <w:spacing w:after="1200" w:lineRule="auto"/>
        <w:jc w:val="center"/>
        <w:rPr/>
      </w:pPr>
      <w:r w:rsidDel="00000000" w:rsidR="00000000" w:rsidRPr="00000000">
        <w:rPr>
          <w:rFonts w:ascii="Tahoma" w:cs="Tahoma" w:eastAsia="Tahoma" w:hAnsi="Tahoma"/>
          <w:b w:val="1"/>
          <w:bCs w:val="1"/>
          <w:color w:val="000000"/>
          <w:sz w:val="28"/>
          <w:szCs w:val="28"/>
          <w:rtl w:val="0"/>
        </w:rPr>
        <w:t xml:space="preserve">AVSA S.A.</w:t>
      </w:r>
      <w:r w:rsidDel="00000000" w:rsidR="00000000" w:rsidRPr="00000000">
        <w:rPr>
          <w:rtl w:val="0"/>
        </w:rPr>
      </w:r>
    </w:p>
    <w:p w:rsidR="00000000" w:rsidDel="00000000" w:rsidP="00000000" w:rsidRDefault="00000000" w:rsidRPr="00000000" w14:paraId="00000005">
      <w:pPr>
        <w:spacing w:after="100" w:lineRule="auto"/>
        <w:jc w:val="center"/>
        <w:rPr/>
      </w:pPr>
      <w:r w:rsidDel="00000000" w:rsidR="00000000" w:rsidRPr="00000000">
        <w:rPr>
          <w:rFonts w:ascii="Tahoma" w:cs="Tahoma" w:eastAsia="Tahoma" w:hAnsi="Tahoma"/>
          <w:b w:val="1"/>
          <w:bCs w:val="1"/>
          <w:color w:val="000000"/>
          <w:sz w:val="28"/>
          <w:szCs w:val="28"/>
          <w:rtl w:val="0"/>
        </w:rPr>
        <w:t xml:space="preserve">2026</w:t>
      </w:r>
      <w:r w:rsidDel="00000000" w:rsidR="00000000" w:rsidRPr="00000000">
        <w:rPr>
          <w:rtl w:val="0"/>
        </w:rPr>
      </w:r>
    </w:p>
    <w:p w:rsidR="00000000" w:rsidDel="00000000" w:rsidP="00000000" w:rsidRDefault="00000000" w:rsidRPr="00000000" w14:paraId="00000006">
      <w:pPr>
        <w:rPr/>
      </w:pPr>
      <w:r w:rsidDel="00000000" w:rsidR="00000000" w:rsidRPr="00000000">
        <w:br w:type="page"/>
      </w:r>
      <w:r w:rsidDel="00000000" w:rsidR="00000000" w:rsidRPr="00000000">
        <w:rPr>
          <w:rtl w:val="0"/>
        </w:rPr>
      </w:r>
    </w:p>
    <w:p w:rsidR="00000000" w:rsidDel="00000000" w:rsidP="00000000" w:rsidRDefault="00000000" w:rsidRPr="00000000" w14:paraId="00000007">
      <w:pPr>
        <w:spacing w:after="200" w:lineRule="auto"/>
        <w:jc w:val="left"/>
        <w:rPr/>
      </w:pPr>
      <w:r w:rsidDel="00000000" w:rsidR="00000000" w:rsidRPr="00000000">
        <w:rPr>
          <w:rFonts w:ascii="Tahoma" w:cs="Tahoma" w:eastAsia="Tahoma" w:hAnsi="Tahoma"/>
          <w:b w:val="1"/>
          <w:bCs w:val="1"/>
          <w:color w:val="000000"/>
          <w:sz w:val="24"/>
          <w:szCs w:val="24"/>
          <w:rtl w:val="0"/>
        </w:rPr>
        <w:t xml:space="preserve">CONTENIDO</w:t>
      </w:r>
      <w:r w:rsidDel="00000000" w:rsidR="00000000" w:rsidRPr="00000000">
        <w:rPr>
          <w:rtl w:val="0"/>
        </w:rPr>
      </w:r>
    </w:p>
    <w:sdt>
      <w:sdtPr>
        <w:id w:val="1696044117"/>
        <w:docPartObj>
          <w:docPartGallery w:val="Table of Contents"/>
          <w:docPartUnique w:val="1"/>
        </w:docPartObj>
      </w:sdtPr>
      <w:sdtContent>
        <w:p w:rsidR="00000000" w:rsidDel="00000000" w:rsidP="00000000" w:rsidRDefault="00000000" w:rsidRPr="00000000" w14:paraId="00000008">
          <w:pPr>
            <w:rPr/>
          </w:pPr>
          <w:r w:rsidDel="00000000" w:rsidR="00000000" w:rsidRPr="00000000">
            <w:fldChar w:fldCharType="begin"/>
            <w:instrText xml:space="preserve"> TOC \h \u \z \t "Heading 1,1,Heading 2,2,Heading 3,3,"</w:instrText>
            <w:fldChar w:fldCharType="separate"/>
          </w: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A">
      <w:pPr>
        <w:rPr/>
      </w:pPr>
      <w:r w:rsidDel="00000000" w:rsidR="00000000" w:rsidRPr="00000000">
        <w:br w:type="page"/>
      </w:r>
      <w:r w:rsidDel="00000000" w:rsidR="00000000" w:rsidRPr="00000000">
        <w:rPr>
          <w:rtl w:val="0"/>
        </w:rPr>
      </w:r>
    </w:p>
    <w:p w:rsidR="00000000" w:rsidDel="00000000" w:rsidP="00000000" w:rsidRDefault="00000000" w:rsidRPr="00000000" w14:paraId="0000000B">
      <w:pPr>
        <w:pStyle w:val="Heading1"/>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INTRODUCCIÓN</w:t>
      </w:r>
      <w:r w:rsidDel="00000000" w:rsidR="00000000" w:rsidRPr="00000000">
        <w:rPr>
          <w:rtl w:val="0"/>
        </w:rPr>
      </w:r>
    </w:p>
    <w:p w:rsidR="00000000" w:rsidDel="00000000" w:rsidP="00000000" w:rsidRDefault="00000000" w:rsidRPr="00000000" w14:paraId="0000000C">
      <w:pPr>
        <w:spacing w:after="160" w:line="259" w:lineRule="auto"/>
        <w:jc w:val="both"/>
        <w:rPr/>
      </w:pPr>
      <w:r w:rsidDel="00000000" w:rsidR="00000000" w:rsidRPr="00000000">
        <w:rPr>
          <w:rFonts w:ascii="Tahoma" w:cs="Tahoma" w:eastAsia="Tahoma" w:hAnsi="Tahoma"/>
          <w:color w:val="000000"/>
          <w:sz w:val="22"/>
          <w:szCs w:val="22"/>
          <w:rtl w:val="0"/>
        </w:rPr>
        <w:t xml:space="preserve">El artículo 80 de la Constitución Política de Colombia establece el deber del Estado de planificar el manejo y aprovechamiento de los recursos naturales renovables, con el fin de garantizar su desarrollo sostenible, su conservación, restauración o sustitución. En desarrollo de este mandato constitucional, el Decreto 1076 de 2015 regula el régimen de concesiones para el aprovechamiento del recurso hídrico, estableciendo las condiciones técnicas, jurídicas y ambientales bajo las cuales las personas naturales o jurídicas pueden acceder al uso de aguas superficiales y subterráneas. Complementariamente, la Ley 373 de 1997 instituye el Programa de Uso Eficiente y Ahorro del Agua como instrumento obligatorio de planificación hídrica para todo usuario que adelante solicitudes de concesión ante la autoridad ambiental competente.</w:t>
      </w:r>
      <w:r w:rsidDel="00000000" w:rsidR="00000000" w:rsidRPr="00000000">
        <w:rPr>
          <w:rtl w:val="0"/>
        </w:rPr>
      </w:r>
    </w:p>
    <w:p w:rsidR="00000000" w:rsidDel="00000000" w:rsidP="00000000" w:rsidRDefault="00000000" w:rsidRPr="00000000" w14:paraId="0000000D">
      <w:pPr>
        <w:spacing w:after="160" w:line="259" w:lineRule="auto"/>
        <w:jc w:val="both"/>
        <w:rPr/>
      </w:pPr>
      <w:r w:rsidDel="00000000" w:rsidR="00000000" w:rsidRPr="00000000">
        <w:rPr>
          <w:rFonts w:ascii="Tahoma" w:cs="Tahoma" w:eastAsia="Tahoma" w:hAnsi="Tahoma"/>
          <w:color w:val="000000"/>
          <w:sz w:val="22"/>
          <w:szCs w:val="22"/>
          <w:rtl w:val="0"/>
        </w:rPr>
        <w:t xml:space="preserve">AVSA S.A., identificada con NIT 890.201.881-4 y representada legalmente por MARIA ISABEL MONTAÑEZ CAMARGO, adelanta ante la Corporación Autónoma Regional de Santander (CAS) la solicitud de concesión de aguas subterráneas para el abastecimiento de la Granja Avícola Jamaica, localizada en la vereda Aguas Claras del municipio de Sabana de Torres, Santander. El recurso hídrico será captado de un pozo profundo para atender los usos pecuario, doméstico y de bioseguridad asociados a la operación de la granja. El presente documento da cumplimiento a los requisitos técnicos, jurídicos y ambientales establecidos en la normativa citada para el otorgamiento de la concesión solicitada.</w:t>
      </w:r>
      <w:r w:rsidDel="00000000" w:rsidR="00000000" w:rsidRPr="00000000">
        <w:rPr>
          <w:rtl w:val="0"/>
        </w:rPr>
      </w:r>
    </w:p>
    <w:p w:rsidR="00000000" w:rsidDel="00000000" w:rsidP="00000000" w:rsidRDefault="00000000" w:rsidRPr="00000000" w14:paraId="0000000E">
      <w:pPr>
        <w:pStyle w:val="Heading1"/>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1. INFORMACIÓN GENERAL</w:t>
      </w:r>
      <w:r w:rsidDel="00000000" w:rsidR="00000000" w:rsidRPr="00000000">
        <w:rPr>
          <w:rtl w:val="0"/>
        </w:rPr>
      </w:r>
    </w:p>
    <w:p w:rsidR="00000000" w:rsidDel="00000000" w:rsidP="00000000" w:rsidRDefault="00000000" w:rsidRPr="00000000" w14:paraId="0000000F">
      <w:pPr>
        <w:spacing w:after="160" w:line="259" w:lineRule="auto"/>
        <w:jc w:val="both"/>
        <w:rPr/>
      </w:pPr>
      <w:r w:rsidDel="00000000" w:rsidR="00000000" w:rsidRPr="00000000">
        <w:rPr>
          <w:rFonts w:ascii="Tahoma" w:cs="Tahoma" w:eastAsia="Tahoma" w:hAnsi="Tahoma"/>
          <w:color w:val="000000"/>
          <w:sz w:val="22"/>
          <w:szCs w:val="22"/>
          <w:rtl w:val="0"/>
        </w:rPr>
        <w:t xml:space="preserve">El proyecto </w:t>
      </w:r>
      <w:r w:rsidDel="00000000" w:rsidR="00000000" w:rsidRPr="00000000">
        <w:rPr>
          <w:rFonts w:ascii="Tahoma" w:cs="Tahoma" w:eastAsia="Tahoma" w:hAnsi="Tahoma"/>
          <w:b w:val="1"/>
          <w:bCs w:val="1"/>
          <w:color w:val="000000"/>
          <w:sz w:val="22"/>
          <w:szCs w:val="22"/>
          <w:rtl w:val="0"/>
        </w:rPr>
        <w:t xml:space="preserve">Granja Avícola Jamaica</w:t>
      </w:r>
      <w:r w:rsidDel="00000000" w:rsidR="00000000" w:rsidRPr="00000000">
        <w:rPr>
          <w:rFonts w:ascii="Tahoma" w:cs="Tahoma" w:eastAsia="Tahoma" w:hAnsi="Tahoma"/>
          <w:color w:val="000000"/>
          <w:sz w:val="22"/>
          <w:szCs w:val="22"/>
          <w:rtl w:val="0"/>
        </w:rPr>
        <w:t xml:space="preserve">, propiedad de </w:t>
      </w:r>
      <w:r w:rsidDel="00000000" w:rsidR="00000000" w:rsidRPr="00000000">
        <w:rPr>
          <w:rFonts w:ascii="Tahoma" w:cs="Tahoma" w:eastAsia="Tahoma" w:hAnsi="Tahoma"/>
          <w:b w:val="1"/>
          <w:bCs w:val="1"/>
          <w:color w:val="000000"/>
          <w:sz w:val="22"/>
          <w:szCs w:val="22"/>
          <w:rtl w:val="0"/>
        </w:rPr>
        <w:t xml:space="preserve">AVSA S.A.</w:t>
      </w:r>
      <w:r w:rsidDel="00000000" w:rsidR="00000000" w:rsidRPr="00000000">
        <w:rPr>
          <w:rFonts w:ascii="Tahoma" w:cs="Tahoma" w:eastAsia="Tahoma" w:hAnsi="Tahoma"/>
          <w:color w:val="000000"/>
          <w:sz w:val="22"/>
          <w:szCs w:val="22"/>
          <w:rtl w:val="0"/>
        </w:rPr>
        <w:t xml:space="preserve">, se desarrolla en la </w:t>
      </w:r>
      <w:r w:rsidDel="00000000" w:rsidR="00000000" w:rsidRPr="00000000">
        <w:rPr>
          <w:rFonts w:ascii="Tahoma" w:cs="Tahoma" w:eastAsia="Tahoma" w:hAnsi="Tahoma"/>
          <w:b w:val="1"/>
          <w:bCs w:val="1"/>
          <w:color w:val="000000"/>
          <w:sz w:val="22"/>
          <w:szCs w:val="22"/>
          <w:rtl w:val="0"/>
        </w:rPr>
        <w:t xml:space="preserve">vereda Aguas Claras</w:t>
      </w:r>
      <w:r w:rsidDel="00000000" w:rsidR="00000000" w:rsidRPr="00000000">
        <w:rPr>
          <w:rFonts w:ascii="Tahoma" w:cs="Tahoma" w:eastAsia="Tahoma" w:hAnsi="Tahoma"/>
          <w:color w:val="000000"/>
          <w:sz w:val="22"/>
          <w:szCs w:val="22"/>
          <w:rtl w:val="0"/>
        </w:rPr>
        <w:t xml:space="preserve"> del </w:t>
      </w:r>
      <w:r w:rsidDel="00000000" w:rsidR="00000000" w:rsidRPr="00000000">
        <w:rPr>
          <w:rFonts w:ascii="Tahoma" w:cs="Tahoma" w:eastAsia="Tahoma" w:hAnsi="Tahoma"/>
          <w:b w:val="1"/>
          <w:bCs w:val="1"/>
          <w:color w:val="000000"/>
          <w:sz w:val="22"/>
          <w:szCs w:val="22"/>
          <w:rtl w:val="0"/>
        </w:rPr>
        <w:t xml:space="preserve">municipio de Sabana de Torres, Santander</w:t>
      </w:r>
      <w:r w:rsidDel="00000000" w:rsidR="00000000" w:rsidRPr="00000000">
        <w:rPr>
          <w:rFonts w:ascii="Tahoma" w:cs="Tahoma" w:eastAsia="Tahoma" w:hAnsi="Tahoma"/>
          <w:color w:val="000000"/>
          <w:sz w:val="22"/>
          <w:szCs w:val="22"/>
          <w:rtl w:val="0"/>
        </w:rPr>
        <w:t xml:space="preserve">. En la siguiente tabla se registran los datos generales del proyecto.</w:t>
      </w:r>
      <w:r w:rsidDel="00000000" w:rsidR="00000000" w:rsidRPr="00000000">
        <w:rPr>
          <w:rtl w:val="0"/>
        </w:rPr>
      </w:r>
    </w:p>
    <w:p w:rsidR="00000000" w:rsidDel="00000000" w:rsidP="00000000" w:rsidRDefault="00000000" w:rsidRPr="00000000" w14:paraId="00000010">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Tabla 1. Información general de Granja Avícola Jamaica</w:t>
      </w:r>
      <w:r w:rsidDel="00000000" w:rsidR="00000000" w:rsidRPr="00000000">
        <w:rPr>
          <w:rtl w:val="0"/>
        </w:rPr>
      </w:r>
    </w:p>
    <w:tbl>
      <w:tblPr>
        <w:tblStyle w:val="Table1"/>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00"/>
        <w:gridCol w:w="6060"/>
        <w:tblGridChange w:id="0">
          <w:tblGrid>
            <w:gridCol w:w="3300"/>
            <w:gridCol w:w="606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11">
            <w:pPr>
              <w:jc w:val="center"/>
              <w:rPr/>
            </w:pPr>
            <w:r w:rsidDel="00000000" w:rsidR="00000000" w:rsidRPr="00000000">
              <w:rPr>
                <w:rFonts w:ascii="Tahoma" w:cs="Tahoma" w:eastAsia="Tahoma" w:hAnsi="Tahoma"/>
                <w:b w:val="1"/>
                <w:bCs w:val="1"/>
                <w:color w:val="000000"/>
                <w:sz w:val="22"/>
                <w:szCs w:val="22"/>
                <w:rtl w:val="0"/>
              </w:rPr>
              <w:t xml:space="preserve">INFORMACIÓN</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12">
            <w:pPr>
              <w:jc w:val="center"/>
              <w:rPr/>
            </w:pPr>
            <w:r w:rsidDel="00000000" w:rsidR="00000000" w:rsidRPr="00000000">
              <w:rPr>
                <w:rFonts w:ascii="Tahoma" w:cs="Tahoma" w:eastAsia="Tahoma" w:hAnsi="Tahoma"/>
                <w:b w:val="1"/>
                <w:bCs w:val="1"/>
                <w:color w:val="000000"/>
                <w:sz w:val="22"/>
                <w:szCs w:val="22"/>
                <w:rtl w:val="0"/>
              </w:rPr>
              <w:t xml:space="preserve">DATO</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3">
            <w:pPr>
              <w:jc w:val="left"/>
              <w:rPr/>
            </w:pPr>
            <w:r w:rsidDel="00000000" w:rsidR="00000000" w:rsidRPr="00000000">
              <w:rPr>
                <w:rFonts w:ascii="Tahoma" w:cs="Tahoma" w:eastAsia="Tahoma" w:hAnsi="Tahoma"/>
                <w:b w:val="1"/>
                <w:bCs w:val="1"/>
                <w:color w:val="000000"/>
                <w:sz w:val="22"/>
                <w:szCs w:val="22"/>
                <w:rtl w:val="0"/>
              </w:rPr>
              <w:t xml:space="preserve">Nombre del proyecto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4">
            <w:pPr>
              <w:jc w:val="left"/>
              <w:rPr/>
            </w:pPr>
            <w:r w:rsidDel="00000000" w:rsidR="00000000" w:rsidRPr="00000000">
              <w:rPr>
                <w:rFonts w:ascii="Tahoma" w:cs="Tahoma" w:eastAsia="Tahoma" w:hAnsi="Tahoma"/>
                <w:color w:val="000000"/>
                <w:sz w:val="22"/>
                <w:szCs w:val="22"/>
                <w:rtl w:val="0"/>
              </w:rPr>
              <w:t xml:space="preserve">Granja Avícola Jamaica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5">
            <w:pPr>
              <w:jc w:val="left"/>
              <w:rPr/>
            </w:pPr>
            <w:r w:rsidDel="00000000" w:rsidR="00000000" w:rsidRPr="00000000">
              <w:rPr>
                <w:rFonts w:ascii="Tahoma" w:cs="Tahoma" w:eastAsia="Tahoma" w:hAnsi="Tahoma"/>
                <w:b w:val="1"/>
                <w:bCs w:val="1"/>
                <w:color w:val="000000"/>
                <w:sz w:val="22"/>
                <w:szCs w:val="22"/>
                <w:rtl w:val="0"/>
              </w:rPr>
              <w:t xml:space="preserve">Nombre de la empresa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6">
            <w:pPr>
              <w:jc w:val="left"/>
              <w:rPr/>
            </w:pPr>
            <w:r w:rsidDel="00000000" w:rsidR="00000000" w:rsidRPr="00000000">
              <w:rPr>
                <w:rFonts w:ascii="Tahoma" w:cs="Tahoma" w:eastAsia="Tahoma" w:hAnsi="Tahoma"/>
                <w:color w:val="000000"/>
                <w:sz w:val="22"/>
                <w:szCs w:val="22"/>
                <w:rtl w:val="0"/>
              </w:rPr>
              <w:t xml:space="preserve">AVSA S.A.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7">
            <w:pPr>
              <w:jc w:val="left"/>
              <w:rPr/>
            </w:pPr>
            <w:r w:rsidDel="00000000" w:rsidR="00000000" w:rsidRPr="00000000">
              <w:rPr>
                <w:rFonts w:ascii="Tahoma" w:cs="Tahoma" w:eastAsia="Tahoma" w:hAnsi="Tahoma"/>
                <w:b w:val="1"/>
                <w:bCs w:val="1"/>
                <w:color w:val="000000"/>
                <w:sz w:val="22"/>
                <w:szCs w:val="22"/>
                <w:rtl w:val="0"/>
              </w:rPr>
              <w:t xml:space="preserve">NIT</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8">
            <w:pPr>
              <w:jc w:val="left"/>
              <w:rPr/>
            </w:pPr>
            <w:r w:rsidDel="00000000" w:rsidR="00000000" w:rsidRPr="00000000">
              <w:rPr>
                <w:rFonts w:ascii="Tahoma" w:cs="Tahoma" w:eastAsia="Tahoma" w:hAnsi="Tahoma"/>
                <w:color w:val="000000"/>
                <w:sz w:val="22"/>
                <w:szCs w:val="22"/>
                <w:rtl w:val="0"/>
              </w:rPr>
              <w:t xml:space="preserve">8902018814</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9">
            <w:pPr>
              <w:jc w:val="left"/>
              <w:rPr/>
            </w:pPr>
            <w:r w:rsidDel="00000000" w:rsidR="00000000" w:rsidRPr="00000000">
              <w:rPr>
                <w:rFonts w:ascii="Tahoma" w:cs="Tahoma" w:eastAsia="Tahoma" w:hAnsi="Tahoma"/>
                <w:b w:val="1"/>
                <w:bCs w:val="1"/>
                <w:color w:val="000000"/>
                <w:sz w:val="22"/>
                <w:szCs w:val="22"/>
                <w:rtl w:val="0"/>
              </w:rPr>
              <w:t xml:space="preserve">Vereda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A">
            <w:pPr>
              <w:jc w:val="left"/>
              <w:rPr/>
            </w:pPr>
            <w:r w:rsidDel="00000000" w:rsidR="00000000" w:rsidRPr="00000000">
              <w:rPr>
                <w:rFonts w:ascii="Tahoma" w:cs="Tahoma" w:eastAsia="Tahoma" w:hAnsi="Tahoma"/>
                <w:color w:val="000000"/>
                <w:sz w:val="22"/>
                <w:szCs w:val="22"/>
                <w:rtl w:val="0"/>
              </w:rPr>
              <w:t xml:space="preserve">Aguas Claras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B">
            <w:pPr>
              <w:jc w:val="left"/>
              <w:rPr/>
            </w:pPr>
            <w:r w:rsidDel="00000000" w:rsidR="00000000" w:rsidRPr="00000000">
              <w:rPr>
                <w:rFonts w:ascii="Tahoma" w:cs="Tahoma" w:eastAsia="Tahoma" w:hAnsi="Tahoma"/>
                <w:b w:val="1"/>
                <w:bCs w:val="1"/>
                <w:color w:val="000000"/>
                <w:sz w:val="22"/>
                <w:szCs w:val="22"/>
                <w:rtl w:val="0"/>
              </w:rPr>
              <w:t xml:space="preserve">Municipio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C">
            <w:pPr>
              <w:jc w:val="left"/>
              <w:rPr/>
            </w:pPr>
            <w:r w:rsidDel="00000000" w:rsidR="00000000" w:rsidRPr="00000000">
              <w:rPr>
                <w:rFonts w:ascii="Tahoma" w:cs="Tahoma" w:eastAsia="Tahoma" w:hAnsi="Tahoma"/>
                <w:color w:val="000000"/>
                <w:sz w:val="22"/>
                <w:szCs w:val="22"/>
                <w:rtl w:val="0"/>
              </w:rPr>
              <w:t xml:space="preserve">Sabana de Torres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D">
            <w:pPr>
              <w:jc w:val="left"/>
              <w:rPr/>
            </w:pPr>
            <w:r w:rsidDel="00000000" w:rsidR="00000000" w:rsidRPr="00000000">
              <w:rPr>
                <w:rFonts w:ascii="Tahoma" w:cs="Tahoma" w:eastAsia="Tahoma" w:hAnsi="Tahoma"/>
                <w:b w:val="1"/>
                <w:bCs w:val="1"/>
                <w:color w:val="000000"/>
                <w:sz w:val="22"/>
                <w:szCs w:val="22"/>
                <w:rtl w:val="0"/>
              </w:rPr>
              <w:t xml:space="preserve">Departamento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E">
            <w:pPr>
              <w:jc w:val="left"/>
              <w:rPr/>
            </w:pPr>
            <w:r w:rsidDel="00000000" w:rsidR="00000000" w:rsidRPr="00000000">
              <w:rPr>
                <w:rFonts w:ascii="Tahoma" w:cs="Tahoma" w:eastAsia="Tahoma" w:hAnsi="Tahoma"/>
                <w:color w:val="000000"/>
                <w:sz w:val="22"/>
                <w:szCs w:val="22"/>
                <w:rtl w:val="0"/>
              </w:rPr>
              <w:t xml:space="preserve">Santander</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F">
            <w:pPr>
              <w:jc w:val="left"/>
              <w:rPr/>
            </w:pPr>
            <w:r w:rsidDel="00000000" w:rsidR="00000000" w:rsidRPr="00000000">
              <w:rPr>
                <w:rFonts w:ascii="Tahoma" w:cs="Tahoma" w:eastAsia="Tahoma" w:hAnsi="Tahoma"/>
                <w:b w:val="1"/>
                <w:bCs w:val="1"/>
                <w:color w:val="000000"/>
                <w:sz w:val="22"/>
                <w:szCs w:val="22"/>
                <w:rtl w:val="0"/>
              </w:rPr>
              <w:t xml:space="preserve">Abastecimiento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20">
            <w:pPr>
              <w:jc w:val="left"/>
              <w:rPr/>
            </w:pPr>
            <w:r w:rsidDel="00000000" w:rsidR="00000000" w:rsidRPr="00000000">
              <w:rPr>
                <w:rFonts w:ascii="Tahoma" w:cs="Tahoma" w:eastAsia="Tahoma" w:hAnsi="Tahoma"/>
                <w:color w:val="000000"/>
                <w:sz w:val="22"/>
                <w:szCs w:val="22"/>
                <w:rtl w:val="0"/>
              </w:rPr>
              <w:t xml:space="preserve">Subterránea</w:t>
            </w:r>
            <w:r w:rsidDel="00000000" w:rsidR="00000000" w:rsidRPr="00000000">
              <w:rPr>
                <w:rtl w:val="0"/>
              </w:rPr>
            </w:r>
          </w:p>
        </w:tc>
      </w:tr>
    </w:tbl>
    <w:p w:rsidR="00000000" w:rsidDel="00000000" w:rsidP="00000000" w:rsidRDefault="00000000" w:rsidRPr="00000000" w14:paraId="00000021">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22">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1.1 LOCALIZACIÓN</w:t>
      </w:r>
      <w:r w:rsidDel="00000000" w:rsidR="00000000" w:rsidRPr="00000000">
        <w:rPr>
          <w:rtl w:val="0"/>
        </w:rPr>
      </w:r>
    </w:p>
    <w:p w:rsidR="00000000" w:rsidDel="00000000" w:rsidP="00000000" w:rsidRDefault="00000000" w:rsidRPr="00000000" w14:paraId="00000023">
      <w:pPr>
        <w:spacing w:after="160" w:line="259" w:lineRule="auto"/>
        <w:jc w:val="both"/>
        <w:rPr/>
      </w:pPr>
      <w:r w:rsidDel="00000000" w:rsidR="00000000" w:rsidRPr="00000000">
        <w:rPr>
          <w:rFonts w:ascii="Tahoma" w:cs="Tahoma" w:eastAsia="Tahoma" w:hAnsi="Tahoma"/>
          <w:color w:val="000000"/>
          <w:sz w:val="22"/>
          <w:szCs w:val="22"/>
          <w:rtl w:val="0"/>
        </w:rPr>
        <w:t xml:space="preserve">El proyecto </w:t>
      </w:r>
      <w:r w:rsidDel="00000000" w:rsidR="00000000" w:rsidRPr="00000000">
        <w:rPr>
          <w:rFonts w:ascii="Tahoma" w:cs="Tahoma" w:eastAsia="Tahoma" w:hAnsi="Tahoma"/>
          <w:b w:val="1"/>
          <w:bCs w:val="1"/>
          <w:color w:val="000000"/>
          <w:sz w:val="22"/>
          <w:szCs w:val="22"/>
          <w:rtl w:val="0"/>
        </w:rPr>
        <w:t xml:space="preserve">Granja Avícola Jamaica</w:t>
      </w:r>
      <w:r w:rsidDel="00000000" w:rsidR="00000000" w:rsidRPr="00000000">
        <w:rPr>
          <w:rFonts w:ascii="Tahoma" w:cs="Tahoma" w:eastAsia="Tahoma" w:hAnsi="Tahoma"/>
          <w:color w:val="000000"/>
          <w:sz w:val="22"/>
          <w:szCs w:val="22"/>
          <w:rtl w:val="0"/>
        </w:rPr>
        <w:t xml:space="preserve"> se localiza en el municipio de </w:t>
      </w:r>
      <w:r w:rsidDel="00000000" w:rsidR="00000000" w:rsidRPr="00000000">
        <w:rPr>
          <w:rFonts w:ascii="Tahoma" w:cs="Tahoma" w:eastAsia="Tahoma" w:hAnsi="Tahoma"/>
          <w:b w:val="1"/>
          <w:bCs w:val="1"/>
          <w:color w:val="000000"/>
          <w:sz w:val="22"/>
          <w:szCs w:val="22"/>
          <w:rtl w:val="0"/>
        </w:rPr>
        <w:t xml:space="preserve">Sabana de Torres</w:t>
      </w:r>
      <w:r w:rsidDel="00000000" w:rsidR="00000000" w:rsidRPr="00000000">
        <w:rPr>
          <w:rFonts w:ascii="Tahoma" w:cs="Tahoma" w:eastAsia="Tahoma" w:hAnsi="Tahoma"/>
          <w:color w:val="000000"/>
          <w:sz w:val="22"/>
          <w:szCs w:val="22"/>
          <w:rtl w:val="0"/>
        </w:rPr>
        <w:t xml:space="preserve">, departamento de </w:t>
      </w:r>
      <w:r w:rsidDel="00000000" w:rsidR="00000000" w:rsidRPr="00000000">
        <w:rPr>
          <w:rFonts w:ascii="Tahoma" w:cs="Tahoma" w:eastAsia="Tahoma" w:hAnsi="Tahoma"/>
          <w:b w:val="1"/>
          <w:bCs w:val="1"/>
          <w:color w:val="000000"/>
          <w:sz w:val="22"/>
          <w:szCs w:val="22"/>
          <w:rtl w:val="0"/>
        </w:rPr>
        <w:t xml:space="preserve">Santander</w:t>
      </w:r>
      <w:r w:rsidDel="00000000" w:rsidR="00000000" w:rsidRPr="00000000">
        <w:rPr>
          <w:rFonts w:ascii="Tahoma" w:cs="Tahoma" w:eastAsia="Tahoma" w:hAnsi="Tahoma"/>
          <w:color w:val="000000"/>
          <w:sz w:val="22"/>
          <w:szCs w:val="22"/>
          <w:rtl w:val="0"/>
        </w:rPr>
        <w:t xml:space="preserve">, dentro del área rural en jurisdicción de la vereda </w:t>
      </w:r>
      <w:r w:rsidDel="00000000" w:rsidR="00000000" w:rsidRPr="00000000">
        <w:rPr>
          <w:rFonts w:ascii="Tahoma" w:cs="Tahoma" w:eastAsia="Tahoma" w:hAnsi="Tahoma"/>
          <w:b w:val="1"/>
          <w:bCs w:val="1"/>
          <w:color w:val="000000"/>
          <w:sz w:val="22"/>
          <w:szCs w:val="22"/>
          <w:rtl w:val="0"/>
        </w:rPr>
        <w:t xml:space="preserve">Aguas Claras</w:t>
      </w:r>
      <w:r w:rsidDel="00000000" w:rsidR="00000000" w:rsidRPr="00000000">
        <w:rPr>
          <w:rFonts w:ascii="Tahoma" w:cs="Tahoma" w:eastAsia="Tahoma" w:hAnsi="Tahoma"/>
          <w:color w:val="000000"/>
          <w:sz w:val="22"/>
          <w:szCs w:val="22"/>
          <w:rtl w:val="0"/>
        </w:rPr>
        <w:t xml:space="preserve">, como se registra en la siguiente imagen.</w:t>
      </w:r>
      <w:r w:rsidDel="00000000" w:rsidR="00000000" w:rsidRPr="00000000">
        <w:rPr>
          <w:rtl w:val="0"/>
        </w:rPr>
      </w:r>
    </w:p>
    <w:p w:rsidR="00000000" w:rsidDel="00000000" w:rsidP="00000000" w:rsidRDefault="00000000" w:rsidRPr="00000000" w14:paraId="00000024">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1. Localización general del proyecto</w:t>
      </w:r>
      <w:r w:rsidDel="00000000" w:rsidR="00000000" w:rsidRPr="00000000">
        <w:rPr>
          <w:rtl w:val="0"/>
        </w:rPr>
      </w:r>
    </w:p>
    <w:tbl>
      <w:tblPr>
        <w:tblStyle w:val="Table2"/>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25">
            <w:pPr>
              <w:jc w:val="center"/>
              <w:rPr/>
            </w:pPr>
            <w:r w:rsidDel="00000000" w:rsidR="00000000" w:rsidRPr="00000000">
              <w:rPr/>
              <w:drawing>
                <wp:inline distB="0" distT="0" distL="0" distR="0">
                  <wp:extent cx="4762500" cy="3371850"/>
                  <wp:effectExtent b="0" l="0" r="0" t="0"/>
                  <wp:docPr id="3" name="image3.jpg"/>
                  <a:graphic>
                    <a:graphicData uri="http://schemas.openxmlformats.org/drawingml/2006/picture">
                      <pic:pic>
                        <pic:nvPicPr>
                          <pic:cNvPr id="0" name="image3.jpg"/>
                          <pic:cNvPicPr preferRelativeResize="0"/>
                        </pic:nvPicPr>
                        <pic:blipFill>
                          <a:blip r:embed="rId6"/>
                          <a:srcRect b="0" l="0" r="0" t="0"/>
                          <a:stretch>
                            <a:fillRect/>
                          </a:stretch>
                        </pic:blipFill>
                        <pic:spPr>
                          <a:xfrm>
                            <a:off x="0" y="0"/>
                            <a:ext cx="4762500" cy="33718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26">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27">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1.2 DESCRIPCIÓN DEL PROYECTO</w:t>
      </w:r>
      <w:r w:rsidDel="00000000" w:rsidR="00000000" w:rsidRPr="00000000">
        <w:rPr>
          <w:rtl w:val="0"/>
        </w:rPr>
      </w:r>
    </w:p>
    <w:p w:rsidR="00000000" w:rsidDel="00000000" w:rsidP="00000000" w:rsidRDefault="00000000" w:rsidRPr="00000000" w14:paraId="00000028">
      <w:pPr>
        <w:spacing w:after="160" w:line="259" w:lineRule="auto"/>
        <w:jc w:val="both"/>
        <w:rPr/>
      </w:pPr>
      <w:r w:rsidDel="00000000" w:rsidR="00000000" w:rsidRPr="00000000">
        <w:rPr>
          <w:rFonts w:ascii="Tahoma" w:cs="Tahoma" w:eastAsia="Tahoma" w:hAnsi="Tahoma"/>
          <w:color w:val="000000"/>
          <w:sz w:val="22"/>
          <w:szCs w:val="22"/>
          <w:rtl w:val="0"/>
        </w:rPr>
        <w:t xml:space="preserve">La Granja Avícola Jamaica opera bajo un sistema de producción intensiva de pollo de engorde tecnificado, organizado en ciclos continuos con una duración de 35 a 45 días por ciclo productivo. El proceso inicia con la etapa de alistamiento (10 a 15 días), durante la cual se retira la pollinaza del ciclo anterior, se desinfectan galpones, equipos y áreas anexas, se instala cama nueva y se verifican los sistemas de suministro de agua y alimento. Completado el alistamiento, se reciben pollitos de un día de edad en la etapa de recepción y preiniciación (7 a 10 días), garantizando temperatura controlada mediante sistemas de calefacción, acceso permanente a agua y alimento balanceado, y seguimiento sanitario continuo.</w:t>
      </w:r>
      <w:r w:rsidDel="00000000" w:rsidR="00000000" w:rsidRPr="00000000">
        <w:rPr>
          <w:rtl w:val="0"/>
        </w:rPr>
      </w:r>
    </w:p>
    <w:p w:rsidR="00000000" w:rsidDel="00000000" w:rsidP="00000000" w:rsidRDefault="00000000" w:rsidRPr="00000000" w14:paraId="00000029">
      <w:pPr>
        <w:spacing w:after="160" w:line="259" w:lineRule="auto"/>
        <w:jc w:val="both"/>
        <w:rPr/>
      </w:pPr>
      <w:r w:rsidDel="00000000" w:rsidR="00000000" w:rsidRPr="00000000">
        <w:rPr>
          <w:rFonts w:ascii="Tahoma" w:cs="Tahoma" w:eastAsia="Tahoma" w:hAnsi="Tahoma"/>
          <w:color w:val="000000"/>
          <w:sz w:val="22"/>
          <w:szCs w:val="22"/>
          <w:rtl w:val="0"/>
        </w:rPr>
        <w:t xml:space="preserve">La etapa de iniciación (10 a 15 días) corresponde al desarrollo fisiológico progresivo de las aves, con ajuste de equipos de alimentación y bebida según el crecimiento, manejo de ventilación y calidad del aire, y aplicación de los planes sanitarios definidos para el ciclo. Posteriormente, la etapa de engorde o finalización (15 a 20 días) concentra el mayor consumo de agua y alimento, con optimización de la conversión alimenticia, control de densidad poblacional y manejo de ventilación para mitigar la concentración de gases como el amoníaco. El ciclo cierra con la salida de aves (1 a 3 días), que comprende el ayuno previo, la recolección y el transporte hacia la planta de beneficio, seguidos de la limpieza preliminar del galpón. Entre 5 y 7 ciclos se ejecutan anualmente, incluyendo los periodos de alistamiento intermedios.</w:t>
      </w:r>
      <w:r w:rsidDel="00000000" w:rsidR="00000000" w:rsidRPr="00000000">
        <w:rPr>
          <w:rtl w:val="0"/>
        </w:rPr>
      </w:r>
    </w:p>
    <w:p w:rsidR="00000000" w:rsidDel="00000000" w:rsidP="00000000" w:rsidRDefault="00000000" w:rsidRPr="00000000" w14:paraId="0000002A">
      <w:pPr>
        <w:spacing w:after="160" w:line="259" w:lineRule="auto"/>
        <w:jc w:val="both"/>
        <w:rPr/>
      </w:pPr>
      <w:r w:rsidDel="00000000" w:rsidR="00000000" w:rsidRPr="00000000">
        <w:rPr>
          <w:rFonts w:ascii="Tahoma" w:cs="Tahoma" w:eastAsia="Tahoma" w:hAnsi="Tahoma"/>
          <w:color w:val="000000"/>
          <w:sz w:val="22"/>
          <w:szCs w:val="22"/>
          <w:rtl w:val="0"/>
        </w:rPr>
        <w:t xml:space="preserve">El sistema productivo se desarrolla en dos núcleos. El Núcleo 1 cuenta con 6 galpones operativos, cada uno con capacidad para 62.000 aves. El Núcleo 2 dispone actualmente de 2 galpones operativos con capacidad para 92.000 aves cada uno, y 5 galpones adicionales de igual capacidad se encuentran en etapa constructiva. La capacidad total del proyecto, una vez concluida la construcción del Núcleo 2, alcanza 1.016.000 aves por ciclo.</w:t>
      </w:r>
      <w:r w:rsidDel="00000000" w:rsidR="00000000" w:rsidRPr="00000000">
        <w:rPr>
          <w:rtl w:val="0"/>
        </w:rPr>
      </w:r>
    </w:p>
    <w:p w:rsidR="00000000" w:rsidDel="00000000" w:rsidP="00000000" w:rsidRDefault="00000000" w:rsidRPr="00000000" w14:paraId="0000002B">
      <w:pPr>
        <w:pStyle w:val="Heading3"/>
        <w:spacing w:after="80" w:before="160" w:lineRule="auto"/>
        <w:rPr/>
      </w:pPr>
      <w:r w:rsidDel="00000000" w:rsidR="00000000" w:rsidRPr="00000000">
        <w:rPr>
          <w:rFonts w:ascii="Tahoma" w:cs="Tahoma" w:eastAsia="Tahoma" w:hAnsi="Tahoma"/>
          <w:b w:val="1"/>
          <w:bCs w:val="1"/>
          <w:i w:val="1"/>
          <w:iCs w:val="1"/>
          <w:color w:val="000000"/>
          <w:sz w:val="20"/>
          <w:szCs w:val="20"/>
          <w:rtl w:val="0"/>
        </w:rPr>
        <w:t xml:space="preserve">1.2.1 Diagrama de flujo del proceso</w:t>
      </w:r>
      <w:r w:rsidDel="00000000" w:rsidR="00000000" w:rsidRPr="00000000">
        <w:rPr>
          <w:rtl w:val="0"/>
        </w:rPr>
      </w:r>
    </w:p>
    <w:p w:rsidR="00000000" w:rsidDel="00000000" w:rsidP="00000000" w:rsidRDefault="00000000" w:rsidRPr="00000000" w14:paraId="0000002C">
      <w:pPr>
        <w:spacing w:after="160" w:line="259" w:lineRule="auto"/>
        <w:jc w:val="both"/>
        <w:rPr/>
      </w:pPr>
      <w:r w:rsidDel="00000000" w:rsidR="00000000" w:rsidRPr="00000000">
        <w:rPr>
          <w:rFonts w:ascii="Tahoma" w:cs="Tahoma" w:eastAsia="Tahoma" w:hAnsi="Tahoma"/>
          <w:color w:val="000000"/>
          <w:sz w:val="22"/>
          <w:szCs w:val="22"/>
          <w:rtl w:val="0"/>
        </w:rPr>
        <w:t xml:space="preserve">Son todas las actividades desarrolladas durante el proceso de producción.</w:t>
      </w:r>
      <w:r w:rsidDel="00000000" w:rsidR="00000000" w:rsidRPr="00000000">
        <w:rPr>
          <w:rtl w:val="0"/>
        </w:rPr>
      </w:r>
    </w:p>
    <w:p w:rsidR="00000000" w:rsidDel="00000000" w:rsidP="00000000" w:rsidRDefault="00000000" w:rsidRPr="00000000" w14:paraId="0000002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Alistamiento: retiro de pollinaza, desinfección de galpones, equipos y áreas anexas, instalación de cama nueva y verificación de sistemas.</w:t>
      </w:r>
    </w:p>
    <w:p w:rsidR="00000000" w:rsidDel="00000000" w:rsidP="00000000" w:rsidRDefault="00000000" w:rsidRPr="00000000" w14:paraId="0000002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Recepción y preiniciación: llegada de pollitos de un día de edad, acondicionamiento térmico y acceso permanente a agua y alimento.</w:t>
      </w:r>
    </w:p>
    <w:p w:rsidR="00000000" w:rsidDel="00000000" w:rsidP="00000000" w:rsidRDefault="00000000" w:rsidRPr="00000000" w14:paraId="0000002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Iniciación: desarrollo fisiológico progresivo, ajuste de equipos de alimentación y bebida, manejo de ventilación y seguimiento sanitario.</w:t>
      </w:r>
    </w:p>
    <w:p w:rsidR="00000000" w:rsidDel="00000000" w:rsidP="00000000" w:rsidRDefault="00000000" w:rsidRPr="00000000" w14:paraId="0000003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Engorde o finalización: intensificación del control ambiental, optimización de conversión alimenticia y preparación logística para la cosecha.</w:t>
      </w:r>
    </w:p>
    <w:p w:rsidR="00000000" w:rsidDel="00000000" w:rsidP="00000000" w:rsidRDefault="00000000" w:rsidRPr="00000000" w14:paraId="0000003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Salida de aves: ayuno previo, captura, cargue y transporte hacia planta de beneficio.</w:t>
      </w:r>
    </w:p>
    <w:p w:rsidR="00000000" w:rsidDel="00000000" w:rsidP="00000000" w:rsidRDefault="00000000" w:rsidRPr="00000000" w14:paraId="0000003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Limpieza preliminar: aseo inicial del galpón posterior a la salida de las aves, previo al inicio del siguiente ciclo de alistamiento.</w:t>
      </w:r>
    </w:p>
    <w:p w:rsidR="00000000" w:rsidDel="00000000" w:rsidP="00000000" w:rsidRDefault="00000000" w:rsidRPr="00000000" w14:paraId="00000033">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2. Flujograma del proceso productivo</w:t>
      </w:r>
      <w:r w:rsidDel="00000000" w:rsidR="00000000" w:rsidRPr="00000000">
        <w:rPr>
          <w:rtl w:val="0"/>
        </w:rPr>
      </w:r>
    </w:p>
    <w:p w:rsidR="00000000" w:rsidDel="00000000" w:rsidP="00000000" w:rsidRDefault="00000000" w:rsidRPr="00000000" w14:paraId="00000034">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Pegue aquí el diagrama de flujo elaborado con la lista de pasos anterior. Si no aporta diagrama, elimine este recuadro.</w:t>
      </w:r>
      <w:r w:rsidDel="00000000" w:rsidR="00000000" w:rsidRPr="00000000">
        <w:rPr>
          <w:rtl w:val="0"/>
        </w:rPr>
      </w:r>
    </w:p>
    <w:tbl>
      <w:tblPr>
        <w:tblStyle w:val="Table3"/>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35">
            <w:pPr>
              <w:jc w:val="center"/>
              <w:rPr/>
            </w:pPr>
            <w:r w:rsidDel="00000000" w:rsidR="00000000" w:rsidRPr="00000000">
              <w:rPr/>
              <w:drawing>
                <wp:inline distB="0" distT="0" distL="0" distR="0">
                  <wp:extent cx="9525" cy="9525"/>
                  <wp:effectExtent b="0" l="0" r="0" t="0"/>
                  <wp:docPr id="5"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9525" cy="95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6">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Autor, 2026.</w:t>
      </w:r>
      <w:r w:rsidDel="00000000" w:rsidR="00000000" w:rsidRPr="00000000">
        <w:rPr>
          <w:rtl w:val="0"/>
        </w:rPr>
      </w:r>
    </w:p>
    <w:p w:rsidR="00000000" w:rsidDel="00000000" w:rsidP="00000000" w:rsidRDefault="00000000" w:rsidRPr="00000000" w14:paraId="00000037">
      <w:pPr>
        <w:pStyle w:val="Heading3"/>
        <w:spacing w:after="80" w:before="160" w:lineRule="auto"/>
        <w:rPr/>
      </w:pPr>
      <w:r w:rsidDel="00000000" w:rsidR="00000000" w:rsidRPr="00000000">
        <w:rPr>
          <w:rFonts w:ascii="Tahoma" w:cs="Tahoma" w:eastAsia="Tahoma" w:hAnsi="Tahoma"/>
          <w:b w:val="1"/>
          <w:bCs w:val="1"/>
          <w:i w:val="1"/>
          <w:iCs w:val="1"/>
          <w:color w:val="000000"/>
          <w:sz w:val="20"/>
          <w:szCs w:val="20"/>
          <w:rtl w:val="0"/>
        </w:rPr>
        <w:t xml:space="preserve">1.2.2 Alistamiento</w:t>
      </w:r>
      <w:r w:rsidDel="00000000" w:rsidR="00000000" w:rsidRPr="00000000">
        <w:rPr>
          <w:rtl w:val="0"/>
        </w:rPr>
      </w:r>
    </w:p>
    <w:p w:rsidR="00000000" w:rsidDel="00000000" w:rsidP="00000000" w:rsidRDefault="00000000" w:rsidRPr="00000000" w14:paraId="00000038">
      <w:pPr>
        <w:spacing w:after="160" w:line="259" w:lineRule="auto"/>
        <w:jc w:val="both"/>
        <w:rPr/>
      </w:pPr>
      <w:r w:rsidDel="00000000" w:rsidR="00000000" w:rsidRPr="00000000">
        <w:rPr>
          <w:rFonts w:ascii="Tahoma" w:cs="Tahoma" w:eastAsia="Tahoma" w:hAnsi="Tahoma"/>
          <w:color w:val="000000"/>
          <w:sz w:val="22"/>
          <w:szCs w:val="22"/>
          <w:rtl w:val="0"/>
        </w:rPr>
        <w:t xml:space="preserve">El alistamiento comprende el conjunto de actividades preparatorias ejecutadas entre la salida de un lote y la recepción del siguiente, con una duración de 10 a 15 días. Durante esta etapa se retira la pollinaza del ciclo anterior, se realizan labores de desinfección de galpones, equipos y áreas anexas, se instala cama nueva y se verifican los sistemas de suministro de agua y alimento, garantizando condiciones sanitarias y operativas óptimas para la recepción del nuevo lote. A continuación se presenta el flujograma que sintetiza la secuencia de actividades que conforman esta etapa.</w:t>
      </w:r>
      <w:r w:rsidDel="00000000" w:rsidR="00000000" w:rsidRPr="00000000">
        <w:rPr>
          <w:rtl w:val="0"/>
        </w:rPr>
      </w:r>
    </w:p>
    <w:p w:rsidR="00000000" w:rsidDel="00000000" w:rsidP="00000000" w:rsidRDefault="00000000" w:rsidRPr="00000000" w14:paraId="0000003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Retiro y disposición adecuada de la pollinaza del ciclo anterior.</w:t>
      </w:r>
    </w:p>
    <w:p w:rsidR="00000000" w:rsidDel="00000000" w:rsidP="00000000" w:rsidRDefault="00000000" w:rsidRPr="00000000" w14:paraId="0000003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Limpieza en seco de pisos, paredes, estructuras y equipos internos del galpón.</w:t>
      </w:r>
    </w:p>
    <w:p w:rsidR="00000000" w:rsidDel="00000000" w:rsidP="00000000" w:rsidRDefault="00000000" w:rsidRPr="00000000" w14:paraId="0000003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Lavado con agua a presión de todas las superficies internas del galpón.</w:t>
      </w:r>
    </w:p>
    <w:p w:rsidR="00000000" w:rsidDel="00000000" w:rsidP="00000000" w:rsidRDefault="00000000" w:rsidRPr="00000000" w14:paraId="0000003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Desinfección química de galpones, equipos de alimentación, bebederos y áreas anexas.</w:t>
      </w:r>
    </w:p>
    <w:p w:rsidR="00000000" w:rsidDel="00000000" w:rsidP="00000000" w:rsidRDefault="00000000" w:rsidRPr="00000000" w14:paraId="0000003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Verificación y mantenimiento de sistemas de ventilación, cortinas y equipos eléctricos.</w:t>
      </w:r>
    </w:p>
    <w:p w:rsidR="00000000" w:rsidDel="00000000" w:rsidP="00000000" w:rsidRDefault="00000000" w:rsidRPr="00000000" w14:paraId="0000003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Revisión y limpieza del sistema de suministro de agua (tuberías, bebederos y tanques internos).</w:t>
      </w:r>
    </w:p>
    <w:p w:rsidR="00000000" w:rsidDel="00000000" w:rsidP="00000000" w:rsidRDefault="00000000" w:rsidRPr="00000000" w14:paraId="0000003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Instalación de cama nueva en el piso del galpón.</w:t>
      </w:r>
    </w:p>
    <w:p w:rsidR="00000000" w:rsidDel="00000000" w:rsidP="00000000" w:rsidRDefault="00000000" w:rsidRPr="00000000" w14:paraId="0000004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Verificación de equipos de alimentación y bebida previo al ingreso de las aves.</w:t>
      </w:r>
    </w:p>
    <w:p w:rsidR="00000000" w:rsidDel="00000000" w:rsidP="00000000" w:rsidRDefault="00000000" w:rsidRPr="00000000" w14:paraId="0000004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Implementación y refuerzo de medidas de bioseguridad perimetrales e internas.</w:t>
      </w:r>
    </w:p>
    <w:p w:rsidR="00000000" w:rsidDel="00000000" w:rsidP="00000000" w:rsidRDefault="00000000" w:rsidRPr="00000000" w14:paraId="0000004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Precalentamiento del galpón para alcanzar las condiciones térmicas requeridas antes de la recepción.</w:t>
      </w:r>
    </w:p>
    <w:p w:rsidR="00000000" w:rsidDel="00000000" w:rsidP="00000000" w:rsidRDefault="00000000" w:rsidRPr="00000000" w14:paraId="00000043">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3. Flujograma del proceso de alistamiento</w:t>
      </w:r>
      <w:r w:rsidDel="00000000" w:rsidR="00000000" w:rsidRPr="00000000">
        <w:rPr>
          <w:rtl w:val="0"/>
        </w:rPr>
      </w:r>
    </w:p>
    <w:p w:rsidR="00000000" w:rsidDel="00000000" w:rsidP="00000000" w:rsidRDefault="00000000" w:rsidRPr="00000000" w14:paraId="00000044">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Pegue aquí el diagrama del proceso de alistamiento (opcional). Si no aporta diagrama, elimine este recuadro.</w:t>
      </w:r>
      <w:r w:rsidDel="00000000" w:rsidR="00000000" w:rsidRPr="00000000">
        <w:rPr>
          <w:rtl w:val="0"/>
        </w:rPr>
      </w:r>
    </w:p>
    <w:tbl>
      <w:tblPr>
        <w:tblStyle w:val="Table4"/>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45">
            <w:pPr>
              <w:jc w:val="center"/>
              <w:rPr/>
            </w:pPr>
            <w:r w:rsidDel="00000000" w:rsidR="00000000" w:rsidRPr="00000000">
              <w:rPr/>
              <w:drawing>
                <wp:inline distB="0" distT="0" distL="0" distR="0">
                  <wp:extent cx="9525" cy="9525"/>
                  <wp:effectExtent b="0" l="0" r="0" t="0"/>
                  <wp:docPr id="4"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9525" cy="95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6">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Autor, 2026.</w:t>
      </w:r>
      <w:r w:rsidDel="00000000" w:rsidR="00000000" w:rsidRPr="00000000">
        <w:rPr>
          <w:rtl w:val="0"/>
        </w:rPr>
      </w:r>
    </w:p>
    <w:p w:rsidR="00000000" w:rsidDel="00000000" w:rsidP="00000000" w:rsidRDefault="00000000" w:rsidRPr="00000000" w14:paraId="00000047">
      <w:pPr>
        <w:pStyle w:val="Heading3"/>
        <w:spacing w:after="80" w:before="160" w:lineRule="auto"/>
        <w:rPr/>
      </w:pPr>
      <w:r w:rsidDel="00000000" w:rsidR="00000000" w:rsidRPr="00000000">
        <w:rPr>
          <w:rFonts w:ascii="Tahoma" w:cs="Tahoma" w:eastAsia="Tahoma" w:hAnsi="Tahoma"/>
          <w:b w:val="1"/>
          <w:bCs w:val="1"/>
          <w:i w:val="1"/>
          <w:iCs w:val="1"/>
          <w:color w:val="000000"/>
          <w:sz w:val="20"/>
          <w:szCs w:val="20"/>
          <w:rtl w:val="0"/>
        </w:rPr>
        <w:t xml:space="preserve">1.2.3 Unidades productivas</w:t>
      </w:r>
      <w:r w:rsidDel="00000000" w:rsidR="00000000" w:rsidRPr="00000000">
        <w:rPr>
          <w:rtl w:val="0"/>
        </w:rPr>
      </w:r>
    </w:p>
    <w:p w:rsidR="00000000" w:rsidDel="00000000" w:rsidP="00000000" w:rsidRDefault="00000000" w:rsidRPr="00000000" w14:paraId="00000048">
      <w:pPr>
        <w:spacing w:after="160" w:line="259" w:lineRule="auto"/>
        <w:jc w:val="both"/>
        <w:rPr/>
      </w:pPr>
      <w:r w:rsidDel="00000000" w:rsidR="00000000" w:rsidRPr="00000000">
        <w:rPr>
          <w:rFonts w:ascii="Tahoma" w:cs="Tahoma" w:eastAsia="Tahoma" w:hAnsi="Tahoma"/>
          <w:color w:val="000000"/>
          <w:sz w:val="22"/>
          <w:szCs w:val="22"/>
          <w:rtl w:val="0"/>
        </w:rPr>
        <w:t xml:space="preserve">El sistema productivo se estructura en dos núcleos diferenciados. El Núcleo 1 cuenta con seis galpones, cada uno con capacidad para 62.000 aves, y se encuentra completamente operativo. El Núcleo 2 dispone de dos galpones operativos con capacidad para 92.000 aves cada uno; adicionalmente, cinco galpones de igual capacidad se hallan en etapa constructiva. La capacidad total instalada y proyectada del proyecto asciende a 1.016.000 aves por ciclo, distribuidas entre ambos núcleos.</w:t>
      </w:r>
      <w:r w:rsidDel="00000000" w:rsidR="00000000" w:rsidRPr="00000000">
        <w:rPr>
          <w:rtl w:val="0"/>
        </w:rPr>
      </w:r>
    </w:p>
    <w:p w:rsidR="00000000" w:rsidDel="00000000" w:rsidP="00000000" w:rsidRDefault="00000000" w:rsidRPr="00000000" w14:paraId="00000049">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4. Unidades productivas</w:t>
      </w:r>
      <w:r w:rsidDel="00000000" w:rsidR="00000000" w:rsidRPr="00000000">
        <w:rPr>
          <w:rtl w:val="0"/>
        </w:rPr>
      </w:r>
    </w:p>
    <w:tbl>
      <w:tblPr>
        <w:tblStyle w:val="Table5"/>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4A">
            <w:pPr>
              <w:jc w:val="center"/>
              <w:rPr/>
            </w:pPr>
            <w:r w:rsidDel="00000000" w:rsidR="00000000" w:rsidRPr="00000000">
              <w:rPr/>
              <w:drawing>
                <wp:inline distB="0" distT="0" distL="0" distR="0">
                  <wp:extent cx="4762500" cy="3048000"/>
                  <wp:effectExtent b="0" l="0" r="0" t="0"/>
                  <wp:docPr id="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762500" cy="304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B">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1.3 USOS DEL RECURSO HÍDRICO</w:t>
      </w:r>
      <w:r w:rsidDel="00000000" w:rsidR="00000000" w:rsidRPr="00000000">
        <w:rPr>
          <w:rtl w:val="0"/>
        </w:rPr>
      </w:r>
    </w:p>
    <w:p w:rsidR="00000000" w:rsidDel="00000000" w:rsidP="00000000" w:rsidRDefault="00000000" w:rsidRPr="00000000" w14:paraId="0000004C">
      <w:pPr>
        <w:spacing w:after="160" w:line="259" w:lineRule="auto"/>
        <w:jc w:val="both"/>
        <w:rPr/>
      </w:pPr>
      <w:r w:rsidDel="00000000" w:rsidR="00000000" w:rsidRPr="00000000">
        <w:rPr>
          <w:rFonts w:ascii="Tahoma" w:cs="Tahoma" w:eastAsia="Tahoma" w:hAnsi="Tahoma"/>
          <w:color w:val="000000"/>
          <w:sz w:val="22"/>
          <w:szCs w:val="22"/>
          <w:rtl w:val="0"/>
        </w:rPr>
        <w:t xml:space="preserve">El caudal requerido para el desarrollo del proyecto es </w:t>
      </w:r>
      <w:r w:rsidDel="00000000" w:rsidR="00000000" w:rsidRPr="00000000">
        <w:rPr>
          <w:rFonts w:ascii="Tahoma" w:cs="Tahoma" w:eastAsia="Tahoma" w:hAnsi="Tahoma"/>
          <w:b w:val="1"/>
          <w:bCs w:val="1"/>
          <w:color w:val="000000"/>
          <w:sz w:val="22"/>
          <w:szCs w:val="22"/>
          <w:rtl w:val="0"/>
        </w:rPr>
        <w:t xml:space="preserve">4,219 L/s</w:t>
      </w:r>
      <w:r w:rsidDel="00000000" w:rsidR="00000000" w:rsidRPr="00000000">
        <w:rPr>
          <w:rFonts w:ascii="Tahoma" w:cs="Tahoma" w:eastAsia="Tahoma" w:hAnsi="Tahoma"/>
          <w:color w:val="000000"/>
          <w:sz w:val="22"/>
          <w:szCs w:val="22"/>
          <w:rtl w:val="0"/>
        </w:rPr>
        <w:t xml:space="preserve">. A continuación se especifican los usos previstos:</w:t>
      </w:r>
      <w:r w:rsidDel="00000000" w:rsidR="00000000" w:rsidRPr="00000000">
        <w:rPr>
          <w:rtl w:val="0"/>
        </w:rPr>
      </w:r>
    </w:p>
    <w:p w:rsidR="00000000" w:rsidDel="00000000" w:rsidP="00000000" w:rsidRDefault="00000000" w:rsidRPr="00000000" w14:paraId="0000004D">
      <w:pPr>
        <w:spacing w:after="160" w:line="259" w:lineRule="auto"/>
        <w:jc w:val="both"/>
        <w:rPr/>
      </w:pPr>
      <w:r w:rsidDel="00000000" w:rsidR="00000000" w:rsidRPr="00000000">
        <w:rPr>
          <w:rFonts w:ascii="Tahoma" w:cs="Tahoma" w:eastAsia="Tahoma" w:hAnsi="Tahoma"/>
          <w:color w:val="000000"/>
          <w:sz w:val="22"/>
          <w:szCs w:val="22"/>
          <w:rtl w:val="0"/>
        </w:rPr>
        <w:t xml:space="preserve">Uso Pecuario: el agua captada del pozo profundo abastece los galpones del sistema avícola de engorde para consumo de las aves a lo largo de los ciclos productivos. El caudal asignado a este uso se calcula mediante el módulo oficial de la CAS de 0,000004 L/s por ave, aplicado sobre la totalidad de la capacidad instalada y proyectada de 1.016.000 aves, resultando en un caudal de 4,064 L/s, que representa la fracción predominante del total solicitado.</w:t>
      </w:r>
      <w:r w:rsidDel="00000000" w:rsidR="00000000" w:rsidRPr="00000000">
        <w:rPr>
          <w:rtl w:val="0"/>
        </w:rPr>
      </w:r>
    </w:p>
    <w:p w:rsidR="00000000" w:rsidDel="00000000" w:rsidP="00000000" w:rsidRDefault="00000000" w:rsidRPr="00000000" w14:paraId="0000004E">
      <w:pPr>
        <w:spacing w:after="160" w:line="259" w:lineRule="auto"/>
        <w:jc w:val="both"/>
        <w:rPr/>
      </w:pPr>
      <w:r w:rsidDel="00000000" w:rsidR="00000000" w:rsidRPr="00000000">
        <w:rPr>
          <w:rFonts w:ascii="Tahoma" w:cs="Tahoma" w:eastAsia="Tahoma" w:hAnsi="Tahoma"/>
          <w:color w:val="000000"/>
          <w:sz w:val="22"/>
          <w:szCs w:val="22"/>
          <w:rtl w:val="0"/>
        </w:rPr>
        <w:t xml:space="preserve">Uso Doméstico: el recurso hídrico se destina al consumo humano del personal que habita y labora en el predio. Se identifican dos grupos diferenciados: 16 personas con un caudal de 0,032 L/s y 18 personas con un caudal de 0,036 L/s, ambos calculados conforme al módulo CAS de 0,002 L/s por persona, para un subtotal doméstico de 0,068 L/s.</w:t>
      </w:r>
      <w:r w:rsidDel="00000000" w:rsidR="00000000" w:rsidRPr="00000000">
        <w:rPr>
          <w:rtl w:val="0"/>
        </w:rPr>
      </w:r>
    </w:p>
    <w:p w:rsidR="00000000" w:rsidDel="00000000" w:rsidP="00000000" w:rsidRDefault="00000000" w:rsidRPr="00000000" w14:paraId="0000004F">
      <w:pPr>
        <w:spacing w:after="160" w:line="259" w:lineRule="auto"/>
        <w:jc w:val="both"/>
        <w:rPr/>
      </w:pPr>
      <w:r w:rsidDel="00000000" w:rsidR="00000000" w:rsidRPr="00000000">
        <w:rPr>
          <w:rFonts w:ascii="Tahoma" w:cs="Tahoma" w:eastAsia="Tahoma" w:hAnsi="Tahoma"/>
          <w:color w:val="000000"/>
          <w:sz w:val="22"/>
          <w:szCs w:val="22"/>
          <w:rtl w:val="0"/>
        </w:rPr>
        <w:t xml:space="preserve">Uso Otros (túnel de desinfección): el túnel de desinfección demanda agua para el proceso de sanitización del personal que ingresa a las instalaciones productivas. Con base en un consumo de 150 litros por persona y un total de 34 personas permanentes y transitorias, el caudal manual asignado a este uso es de 0,059 L/s.</w:t>
      </w:r>
      <w:r w:rsidDel="00000000" w:rsidR="00000000" w:rsidRPr="00000000">
        <w:rPr>
          <w:rtl w:val="0"/>
        </w:rPr>
      </w:r>
    </w:p>
    <w:p w:rsidR="00000000" w:rsidDel="00000000" w:rsidP="00000000" w:rsidRDefault="00000000" w:rsidRPr="00000000" w14:paraId="00000050">
      <w:pPr>
        <w:spacing w:after="160" w:line="259" w:lineRule="auto"/>
        <w:jc w:val="both"/>
        <w:rPr/>
      </w:pPr>
      <w:r w:rsidDel="00000000" w:rsidR="00000000" w:rsidRPr="00000000">
        <w:rPr>
          <w:rFonts w:ascii="Tahoma" w:cs="Tahoma" w:eastAsia="Tahoma" w:hAnsi="Tahoma"/>
          <w:color w:val="000000"/>
          <w:sz w:val="22"/>
          <w:szCs w:val="22"/>
          <w:rtl w:val="0"/>
        </w:rPr>
        <w:t xml:space="preserve">Uso Otros (arco de desinfección vehicular): el arco de desinfección opera para el saneamiento de los vehículos que acceden al predio. Con un consumo de 350 litros por vehículo y un ingreso promedio de 9 vehículos diarios, el caudal manual asignado es de 0,028 L/s.</w:t>
      </w:r>
      <w:r w:rsidDel="00000000" w:rsidR="00000000" w:rsidRPr="00000000">
        <w:rPr>
          <w:rtl w:val="0"/>
        </w:rPr>
      </w:r>
    </w:p>
    <w:p w:rsidR="00000000" w:rsidDel="00000000" w:rsidP="00000000" w:rsidRDefault="00000000" w:rsidRPr="00000000" w14:paraId="00000051">
      <w:pPr>
        <w:spacing w:after="160" w:line="259" w:lineRule="auto"/>
        <w:jc w:val="both"/>
        <w:rPr/>
      </w:pPr>
      <w:r w:rsidDel="00000000" w:rsidR="00000000" w:rsidRPr="00000000">
        <w:rPr>
          <w:rFonts w:ascii="Tahoma" w:cs="Tahoma" w:eastAsia="Tahoma" w:hAnsi="Tahoma"/>
          <w:color w:val="000000"/>
          <w:sz w:val="22"/>
          <w:szCs w:val="22"/>
          <w:rtl w:val="0"/>
        </w:rPr>
        <w:t xml:space="preserve">El balance de los usos descritos arroja un caudal total solicitado de 4,219 L/s, distribuido entre los usos pecuario, doméstico y otros usos de desinfección, todos directamente vinculados a la operación continua y a las medidas de bioseguridad del proyecto.</w:t>
      </w:r>
      <w:r w:rsidDel="00000000" w:rsidR="00000000" w:rsidRPr="00000000">
        <w:rPr>
          <w:rtl w:val="0"/>
        </w:rPr>
      </w:r>
    </w:p>
    <w:p w:rsidR="00000000" w:rsidDel="00000000" w:rsidP="00000000" w:rsidRDefault="00000000" w:rsidRPr="00000000" w14:paraId="00000052">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1.4 FUENTE DE ABASTECIMIENTO DEL RECURSO HÍDRICO</w:t>
      </w:r>
      <w:r w:rsidDel="00000000" w:rsidR="00000000" w:rsidRPr="00000000">
        <w:rPr>
          <w:rtl w:val="0"/>
        </w:rPr>
      </w:r>
    </w:p>
    <w:p w:rsidR="00000000" w:rsidDel="00000000" w:rsidP="00000000" w:rsidRDefault="00000000" w:rsidRPr="00000000" w14:paraId="00000053">
      <w:pPr>
        <w:spacing w:after="160" w:line="259" w:lineRule="auto"/>
        <w:jc w:val="both"/>
        <w:rPr/>
      </w:pPr>
      <w:r w:rsidDel="00000000" w:rsidR="00000000" w:rsidRPr="00000000">
        <w:rPr>
          <w:rFonts w:ascii="Tahoma" w:cs="Tahoma" w:eastAsia="Tahoma" w:hAnsi="Tahoma"/>
          <w:color w:val="000000"/>
          <w:sz w:val="22"/>
          <w:szCs w:val="22"/>
          <w:rtl w:val="0"/>
        </w:rPr>
        <w:t xml:space="preserve">El abastecimiento hídrico del proyecto se obtiene de un pozo profundo localizado dentro del predio, cuya captación opera mediante una bomba sumergible de 5 Hp. El recurso extraído es conducido a través de tubería PVC de 4 pulgadas hasta los tanques de almacenamiento, desde donde se distribuye a los galpones, viviendas, túnel de desinfección y arco de desinfección. La fuente no cuenta con nombre registrado ante la autoridad ambiental.</w:t>
      </w:r>
      <w:r w:rsidDel="00000000" w:rsidR="00000000" w:rsidRPr="00000000">
        <w:rPr>
          <w:rtl w:val="0"/>
        </w:rPr>
      </w:r>
    </w:p>
    <w:p w:rsidR="00000000" w:rsidDel="00000000" w:rsidP="00000000" w:rsidRDefault="00000000" w:rsidRPr="00000000" w14:paraId="00000054">
      <w:pPr>
        <w:spacing w:after="160" w:line="259" w:lineRule="auto"/>
        <w:jc w:val="both"/>
        <w:rPr/>
      </w:pPr>
      <w:r w:rsidDel="00000000" w:rsidR="00000000" w:rsidRPr="00000000">
        <w:rPr>
          <w:rFonts w:ascii="Tahoma" w:cs="Tahoma" w:eastAsia="Tahoma" w:hAnsi="Tahoma"/>
          <w:color w:val="000000"/>
          <w:sz w:val="22"/>
          <w:szCs w:val="22"/>
          <w:rtl w:val="0"/>
        </w:rPr>
        <w:t xml:space="preserve">Como fuente alterna, el proyecto dispone de un reservorio de aguas lluvias localizado dentro del predio, el cual opera de forma complementaria al pozo profundo. El punto de captación se encuentra georreferenciado en las siguientes coordenadas:</w:t>
      </w:r>
      <w:r w:rsidDel="00000000" w:rsidR="00000000" w:rsidRPr="00000000">
        <w:rPr>
          <w:rtl w:val="0"/>
        </w:rPr>
      </w:r>
    </w:p>
    <w:p w:rsidR="00000000" w:rsidDel="00000000" w:rsidP="00000000" w:rsidRDefault="00000000" w:rsidRPr="00000000" w14:paraId="00000055">
      <w:pPr>
        <w:spacing w:after="160" w:line="259" w:lineRule="auto"/>
        <w:jc w:val="both"/>
        <w:rPr/>
      </w:pPr>
      <w:r w:rsidDel="00000000" w:rsidR="00000000" w:rsidRPr="00000000">
        <w:rPr>
          <w:rFonts w:ascii="Tahoma" w:cs="Tahoma" w:eastAsia="Tahoma" w:hAnsi="Tahoma"/>
          <w:color w:val="000000"/>
          <w:sz w:val="22"/>
          <w:szCs w:val="22"/>
          <w:rtl w:val="0"/>
        </w:rPr>
        <w:t xml:space="preserve">El punto de captación se encuentra georreferenciado en las siguientes coordenadas:</w:t>
      </w:r>
      <w:r w:rsidDel="00000000" w:rsidR="00000000" w:rsidRPr="00000000">
        <w:rPr>
          <w:rtl w:val="0"/>
        </w:rPr>
      </w:r>
    </w:p>
    <w:p w:rsidR="00000000" w:rsidDel="00000000" w:rsidP="00000000" w:rsidRDefault="00000000" w:rsidRPr="00000000" w14:paraId="00000056">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Tabla 2. Coordenadas del punto de abastecimiento</w:t>
      </w:r>
      <w:r w:rsidDel="00000000" w:rsidR="00000000" w:rsidRPr="00000000">
        <w:rPr>
          <w:rtl w:val="0"/>
        </w:rPr>
      </w:r>
    </w:p>
    <w:tbl>
      <w:tblPr>
        <w:tblStyle w:val="Table6"/>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80"/>
        <w:gridCol w:w="2340"/>
        <w:gridCol w:w="2340"/>
        <w:tblGridChange w:id="0">
          <w:tblGrid>
            <w:gridCol w:w="4680"/>
            <w:gridCol w:w="2340"/>
            <w:gridCol w:w="234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57">
            <w:pPr>
              <w:jc w:val="center"/>
              <w:rPr/>
            </w:pPr>
            <w:r w:rsidDel="00000000" w:rsidR="00000000" w:rsidRPr="00000000">
              <w:rPr>
                <w:rFonts w:ascii="Tahoma" w:cs="Tahoma" w:eastAsia="Tahoma" w:hAnsi="Tahoma"/>
                <w:b w:val="1"/>
                <w:bCs w:val="1"/>
                <w:color w:val="000000"/>
                <w:sz w:val="22"/>
                <w:szCs w:val="22"/>
                <w:rtl w:val="0"/>
              </w:rPr>
              <w:t xml:space="preserve">Fuente de abastecimiento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58">
            <w:pPr>
              <w:jc w:val="center"/>
              <w:rPr/>
            </w:pPr>
            <w:r w:rsidDel="00000000" w:rsidR="00000000" w:rsidRPr="00000000">
              <w:rPr>
                <w:rFonts w:ascii="Tahoma" w:cs="Tahoma" w:eastAsia="Tahoma" w:hAnsi="Tahoma"/>
                <w:b w:val="1"/>
                <w:bCs w:val="1"/>
                <w:color w:val="000000"/>
                <w:sz w:val="22"/>
                <w:szCs w:val="22"/>
                <w:rtl w:val="0"/>
              </w:rPr>
              <w:t xml:space="preserve">Latitud</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59">
            <w:pPr>
              <w:jc w:val="center"/>
              <w:rPr/>
            </w:pPr>
            <w:r w:rsidDel="00000000" w:rsidR="00000000" w:rsidRPr="00000000">
              <w:rPr>
                <w:rFonts w:ascii="Tahoma" w:cs="Tahoma" w:eastAsia="Tahoma" w:hAnsi="Tahoma"/>
                <w:b w:val="1"/>
                <w:bCs w:val="1"/>
                <w:color w:val="000000"/>
                <w:sz w:val="22"/>
                <w:szCs w:val="22"/>
                <w:rtl w:val="0"/>
              </w:rPr>
              <w:t xml:space="preserve">Longitud</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5A">
            <w:pPr>
              <w:jc w:val="left"/>
              <w:rPr/>
            </w:pPr>
            <w:r w:rsidDel="00000000" w:rsidR="00000000" w:rsidRPr="00000000">
              <w:rPr>
                <w:rFonts w:ascii="Tahoma" w:cs="Tahoma" w:eastAsia="Tahoma" w:hAnsi="Tahoma"/>
                <w:color w:val="000000"/>
                <w:sz w:val="22"/>
                <w:szCs w:val="22"/>
                <w:rtl w:val="0"/>
              </w:rPr>
              <w:t xml:space="preserve">Reservorio de aguas lluvias</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5B">
            <w:pPr>
              <w:jc w:val="center"/>
              <w:rPr/>
            </w:pPr>
            <w:r w:rsidDel="00000000" w:rsidR="00000000" w:rsidRPr="00000000">
              <w:rPr>
                <w:rFonts w:ascii="Tahoma" w:cs="Tahoma" w:eastAsia="Tahoma" w:hAnsi="Tahoma"/>
                <w:color w:val="000000"/>
                <w:sz w:val="22"/>
                <w:szCs w:val="22"/>
                <w:rtl w:val="0"/>
              </w:rPr>
              <w:t xml:space="preserve">7,274473</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5C">
            <w:pPr>
              <w:jc w:val="center"/>
              <w:rPr/>
            </w:pPr>
            <w:r w:rsidDel="00000000" w:rsidR="00000000" w:rsidRPr="00000000">
              <w:rPr>
                <w:rFonts w:ascii="Tahoma" w:cs="Tahoma" w:eastAsia="Tahoma" w:hAnsi="Tahoma"/>
                <w:color w:val="000000"/>
                <w:sz w:val="22"/>
                <w:szCs w:val="22"/>
                <w:rtl w:val="0"/>
              </w:rPr>
              <w:t xml:space="preserve">-73,558548</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5D">
            <w:pPr>
              <w:jc w:val="left"/>
              <w:rPr/>
            </w:pPr>
            <w:r w:rsidDel="00000000" w:rsidR="00000000" w:rsidRPr="00000000">
              <w:rPr>
                <w:rFonts w:ascii="Tahoma" w:cs="Tahoma" w:eastAsia="Tahoma" w:hAnsi="Tahoma"/>
                <w:color w:val="000000"/>
                <w:sz w:val="22"/>
                <w:szCs w:val="22"/>
                <w:rtl w:val="0"/>
              </w:rPr>
              <w:t xml:space="preserve">La fuente hídrica abastecedora es un pozo subterráneo.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5E">
            <w:pPr>
              <w:jc w:val="center"/>
              <w:rPr/>
            </w:pPr>
            <w:r w:rsidDel="00000000" w:rsidR="00000000" w:rsidRPr="00000000">
              <w:rPr>
                <w:rFonts w:ascii="Tahoma" w:cs="Tahoma" w:eastAsia="Tahoma" w:hAnsi="Tahoma"/>
                <w:color w:val="000000"/>
                <w:sz w:val="22"/>
                <w:szCs w:val="22"/>
                <w:rtl w:val="0"/>
              </w:rPr>
              <w:t xml:space="preserve">7,275152</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5F">
            <w:pPr>
              <w:jc w:val="center"/>
              <w:rPr/>
            </w:pPr>
            <w:r w:rsidDel="00000000" w:rsidR="00000000" w:rsidRPr="00000000">
              <w:rPr>
                <w:rFonts w:ascii="Tahoma" w:cs="Tahoma" w:eastAsia="Tahoma" w:hAnsi="Tahoma"/>
                <w:color w:val="000000"/>
                <w:sz w:val="22"/>
                <w:szCs w:val="22"/>
                <w:rtl w:val="0"/>
              </w:rPr>
              <w:t xml:space="preserve">-73,558266</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60">
            <w:pPr>
              <w:jc w:val="left"/>
              <w:rPr/>
            </w:pPr>
            <w:r w:rsidDel="00000000" w:rsidR="00000000" w:rsidRPr="00000000">
              <w:rPr>
                <w:rFonts w:ascii="Tahoma" w:cs="Tahoma" w:eastAsia="Tahoma" w:hAnsi="Tahoma"/>
                <w:color w:val="000000"/>
                <w:sz w:val="22"/>
                <w:szCs w:val="22"/>
                <w:rtl w:val="0"/>
              </w:rPr>
              <w:t xml:space="preserve">La captación del pozo profundo se realiza a través de una bomba sumergible de 5 </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61">
            <w:pPr>
              <w:jc w:val="center"/>
              <w:rPr/>
            </w:pPr>
            <w:r w:rsidDel="00000000" w:rsidR="00000000" w:rsidRPr="00000000">
              <w:rPr>
                <w:rFonts w:ascii="Tahoma" w:cs="Tahoma" w:eastAsia="Tahoma" w:hAnsi="Tahoma"/>
                <w:color w:val="000000"/>
                <w:sz w:val="22"/>
                <w:szCs w:val="22"/>
                <w:rtl w:val="0"/>
              </w:rPr>
              <w:t xml:space="preserve">7,275152</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62">
            <w:pPr>
              <w:jc w:val="center"/>
              <w:rPr/>
            </w:pPr>
            <w:r w:rsidDel="00000000" w:rsidR="00000000" w:rsidRPr="00000000">
              <w:rPr>
                <w:rFonts w:ascii="Tahoma" w:cs="Tahoma" w:eastAsia="Tahoma" w:hAnsi="Tahoma"/>
                <w:color w:val="000000"/>
                <w:sz w:val="22"/>
                <w:szCs w:val="22"/>
                <w:rtl w:val="0"/>
              </w:rPr>
              <w:t xml:space="preserve">-73,558266</w:t>
            </w:r>
            <w:r w:rsidDel="00000000" w:rsidR="00000000" w:rsidRPr="00000000">
              <w:rPr>
                <w:rtl w:val="0"/>
              </w:rPr>
            </w:r>
          </w:p>
        </w:tc>
      </w:tr>
    </w:tbl>
    <w:p w:rsidR="00000000" w:rsidDel="00000000" w:rsidP="00000000" w:rsidRDefault="00000000" w:rsidRPr="00000000" w14:paraId="00000063">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64">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5. Fuentes hídricas abastecedoras del proyecto</w:t>
      </w:r>
      <w:r w:rsidDel="00000000" w:rsidR="00000000" w:rsidRPr="00000000">
        <w:rPr>
          <w:rtl w:val="0"/>
        </w:rPr>
      </w:r>
    </w:p>
    <w:tbl>
      <w:tblPr>
        <w:tblStyle w:val="Table7"/>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65">
            <w:pPr>
              <w:jc w:val="center"/>
              <w:rPr/>
            </w:pPr>
            <w:r w:rsidDel="00000000" w:rsidR="00000000" w:rsidRPr="00000000">
              <w:rPr/>
              <w:drawing>
                <wp:inline distB="0" distT="0" distL="0" distR="0">
                  <wp:extent cx="4762500" cy="6400800"/>
                  <wp:effectExtent b="0" l="0" r="0" t="0"/>
                  <wp:docPr id="6"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4762500" cy="6400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66">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67">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1.5 SISTEMA DE TRATAMIENTO, ALMACENAMIENTO Y DISTRIBUCIÓN</w:t>
      </w:r>
      <w:r w:rsidDel="00000000" w:rsidR="00000000" w:rsidRPr="00000000">
        <w:rPr>
          <w:rtl w:val="0"/>
        </w:rPr>
      </w:r>
    </w:p>
    <w:p w:rsidR="00000000" w:rsidDel="00000000" w:rsidP="00000000" w:rsidRDefault="00000000" w:rsidRPr="00000000" w14:paraId="00000068">
      <w:pPr>
        <w:spacing w:after="160" w:line="259" w:lineRule="auto"/>
        <w:jc w:val="both"/>
        <w:rPr/>
      </w:pPr>
      <w:r w:rsidDel="00000000" w:rsidR="00000000" w:rsidRPr="00000000">
        <w:rPr>
          <w:rFonts w:ascii="Tahoma" w:cs="Tahoma" w:eastAsia="Tahoma" w:hAnsi="Tahoma"/>
          <w:color w:val="000000"/>
          <w:sz w:val="22"/>
          <w:szCs w:val="22"/>
          <w:rtl w:val="0"/>
        </w:rPr>
        <w:t xml:space="preserve">El sistema de captación opera mediante una bomba sumergible de 5 Hp instalada en el pozo profundo ubicado en latitud 7,275152, longitud -73,558266. La profundidad del pozo es [PENDIENTE: profundidad total del pozo en metros], con nivel estático de [PENDIENTE: nivel estático del agua en metros bajo boca de pozo] y nivel dinámico de [PENDIENTE: nivel dinámico en metros bajo boca de pozo]. El caudal de prueba de bombeo es [PENDIENTE: caudal de prueba en L/s según informe de perforación]. El pozo cuenta con [PENDIENTE: descripción de rejilla, sello sanitario y sistema de control de nivel instalados en el pozo].</w:t>
      </w:r>
      <w:r w:rsidDel="00000000" w:rsidR="00000000" w:rsidRPr="00000000">
        <w:rPr>
          <w:rtl w:val="0"/>
        </w:rPr>
      </w:r>
    </w:p>
    <w:p w:rsidR="00000000" w:rsidDel="00000000" w:rsidP="00000000" w:rsidRDefault="00000000" w:rsidRPr="00000000" w14:paraId="00000069">
      <w:pPr>
        <w:spacing w:after="160" w:line="259" w:lineRule="auto"/>
        <w:jc w:val="both"/>
        <w:rPr/>
      </w:pPr>
      <w:r w:rsidDel="00000000" w:rsidR="00000000" w:rsidRPr="00000000">
        <w:rPr>
          <w:rFonts w:ascii="Tahoma" w:cs="Tahoma" w:eastAsia="Tahoma" w:hAnsi="Tahoma"/>
          <w:color w:val="000000"/>
          <w:sz w:val="22"/>
          <w:szCs w:val="22"/>
          <w:rtl w:val="0"/>
        </w:rPr>
        <w:t xml:space="preserve">La conducción desde el pozo hasta los tanques de almacenamiento se realiza mediante tubería PVC de 4 pulgadas de diámetro. La longitud total de la línea de conducción es [PENDIENTE: longitud total en metros de la tubería de conducción entre el pozo y los tanques de almacenamiento]. El desnivel entre el punto de captación y los tanques es [PENDIENTE: desnivel en metros entre boca del pozo y base de los tanques de almacenamiento]. La red no registra especificación de ventosas ni purgas en el trazado; estos elementos deben detallarse en [PENDIENTE: plano hidráulico de conducción].</w:t>
      </w:r>
      <w:r w:rsidDel="00000000" w:rsidR="00000000" w:rsidRPr="00000000">
        <w:rPr>
          <w:rtl w:val="0"/>
        </w:rPr>
      </w:r>
    </w:p>
    <w:p w:rsidR="00000000" w:rsidDel="00000000" w:rsidP="00000000" w:rsidRDefault="00000000" w:rsidRPr="00000000" w14:paraId="0000006A">
      <w:pPr>
        <w:spacing w:after="160" w:line="259" w:lineRule="auto"/>
        <w:jc w:val="both"/>
        <w:rPr/>
      </w:pPr>
      <w:r w:rsidDel="00000000" w:rsidR="00000000" w:rsidRPr="00000000">
        <w:rPr>
          <w:rFonts w:ascii="Tahoma" w:cs="Tahoma" w:eastAsia="Tahoma" w:hAnsi="Tahoma"/>
          <w:color w:val="000000"/>
          <w:sz w:val="22"/>
          <w:szCs w:val="22"/>
          <w:rtl w:val="0"/>
        </w:rPr>
        <w:t xml:space="preserve">El sistema de almacenamiento está compuesto por tres tanques de agua tratada, cada uno con capacidad de 100 m³, para una capacidad total instalada de 300 m³. Desde estos tanques, un sistema de bombeo de distribución conduce el recurso hacia los galpones, viviendas, túnel de desinfección y arco de desinfección. El sistema de bombeo de distribución está conformado por bombas y su respectivo tablero de control. El tipo de material de los tanques es [PENDIENTE: material de construcción de los tanques de almacenamiento (concreto, polietileno HDPE u otro)].</w:t>
      </w:r>
      <w:r w:rsidDel="00000000" w:rsidR="00000000" w:rsidRPr="00000000">
        <w:rPr>
          <w:rtl w:val="0"/>
        </w:rPr>
      </w:r>
    </w:p>
    <w:p w:rsidR="00000000" w:rsidDel="00000000" w:rsidP="00000000" w:rsidRDefault="00000000" w:rsidRPr="00000000" w14:paraId="0000006B">
      <w:pPr>
        <w:spacing w:after="160" w:line="259" w:lineRule="auto"/>
        <w:jc w:val="both"/>
        <w:rPr/>
      </w:pPr>
      <w:r w:rsidDel="00000000" w:rsidR="00000000" w:rsidRPr="00000000">
        <w:rPr>
          <w:rFonts w:ascii="Tahoma" w:cs="Tahoma" w:eastAsia="Tahoma" w:hAnsi="Tahoma"/>
          <w:color w:val="000000"/>
          <w:sz w:val="22"/>
          <w:szCs w:val="22"/>
          <w:rtl w:val="0"/>
        </w:rPr>
        <w:t xml:space="preserve">El sistema de tratamiento del agua corresponde a una Planta de Tratamiento de Agua Potable (PTAP) cuyas etapas y componentes son [PENDIENTE: descripción detallada de las etapas de tratamiento de la PTAP: floculación, sedimentación, filtración, desinfección, caudal de diseño y productos químicos utilizados]. Las fotos del punto de inspección #13 confirman la existencia física de la PTAP en el predio, pero la caracterización de sus unidades de proceso requiere la ficha técnica mencionada en la alerta anterior.</w:t>
      </w:r>
      <w:r w:rsidDel="00000000" w:rsidR="00000000" w:rsidRPr="00000000">
        <w:rPr>
          <w:rtl w:val="0"/>
        </w:rPr>
      </w:r>
    </w:p>
    <w:p w:rsidR="00000000" w:rsidDel="00000000" w:rsidP="00000000" w:rsidRDefault="00000000" w:rsidRPr="00000000" w14:paraId="0000006C">
      <w:pPr>
        <w:spacing w:after="160" w:line="259" w:lineRule="auto"/>
        <w:jc w:val="both"/>
        <w:rPr/>
      </w:pPr>
      <w:r w:rsidDel="00000000" w:rsidR="00000000" w:rsidRPr="00000000">
        <w:rPr>
          <w:rFonts w:ascii="Tahoma" w:cs="Tahoma" w:eastAsia="Tahoma" w:hAnsi="Tahoma"/>
          <w:color w:val="000000"/>
          <w:sz w:val="22"/>
          <w:szCs w:val="22"/>
          <w:rtl w:val="0"/>
        </w:rPr>
        <w:t xml:space="preserve">• Bombas de distribución (cantidad y potencia: [PENDIENTE: número y potencia en Hp de las bombas de distribución])</w:t>
      </w:r>
      <w:r w:rsidDel="00000000" w:rsidR="00000000" w:rsidRPr="00000000">
        <w:rPr>
          <w:rtl w:val="0"/>
        </w:rPr>
      </w:r>
    </w:p>
    <w:p w:rsidR="00000000" w:rsidDel="00000000" w:rsidP="00000000" w:rsidRDefault="00000000" w:rsidRPr="00000000" w14:paraId="0000006D">
      <w:pPr>
        <w:spacing w:after="160" w:line="259" w:lineRule="auto"/>
        <w:jc w:val="both"/>
        <w:rPr/>
      </w:pPr>
      <w:r w:rsidDel="00000000" w:rsidR="00000000" w:rsidRPr="00000000">
        <w:rPr>
          <w:rFonts w:ascii="Tahoma" w:cs="Tahoma" w:eastAsia="Tahoma" w:hAnsi="Tahoma"/>
          <w:color w:val="000000"/>
          <w:sz w:val="22"/>
          <w:szCs w:val="22"/>
          <w:rtl w:val="0"/>
        </w:rPr>
        <w:t xml:space="preserve">• Tablero de control con protecciones eléctricas</w:t>
      </w:r>
      <w:r w:rsidDel="00000000" w:rsidR="00000000" w:rsidRPr="00000000">
        <w:rPr>
          <w:rtl w:val="0"/>
        </w:rPr>
      </w:r>
    </w:p>
    <w:p w:rsidR="00000000" w:rsidDel="00000000" w:rsidP="00000000" w:rsidRDefault="00000000" w:rsidRPr="00000000" w14:paraId="0000006E">
      <w:pPr>
        <w:spacing w:after="160" w:line="259" w:lineRule="auto"/>
        <w:jc w:val="both"/>
        <w:rPr/>
      </w:pPr>
      <w:r w:rsidDel="00000000" w:rsidR="00000000" w:rsidRPr="00000000">
        <w:rPr>
          <w:rFonts w:ascii="Tahoma" w:cs="Tahoma" w:eastAsia="Tahoma" w:hAnsi="Tahoma"/>
          <w:color w:val="000000"/>
          <w:sz w:val="22"/>
          <w:szCs w:val="22"/>
          <w:rtl w:val="0"/>
        </w:rPr>
        <w:t xml:space="preserve">• Tubería de succión e impulsión ([PENDIENTE: diámetro y material de tuberías de succión e impulsión del sistema de distribución])</w:t>
      </w:r>
      <w:r w:rsidDel="00000000" w:rsidR="00000000" w:rsidRPr="00000000">
        <w:rPr>
          <w:rtl w:val="0"/>
        </w:rPr>
      </w:r>
    </w:p>
    <w:p w:rsidR="00000000" w:rsidDel="00000000" w:rsidP="00000000" w:rsidRDefault="00000000" w:rsidRPr="00000000" w14:paraId="0000006F">
      <w:pPr>
        <w:spacing w:after="160" w:line="259" w:lineRule="auto"/>
        <w:jc w:val="both"/>
        <w:rPr/>
      </w:pPr>
      <w:r w:rsidDel="00000000" w:rsidR="00000000" w:rsidRPr="00000000">
        <w:rPr>
          <w:rFonts w:ascii="Tahoma" w:cs="Tahoma" w:eastAsia="Tahoma" w:hAnsi="Tahoma"/>
          <w:color w:val="000000"/>
          <w:sz w:val="22"/>
          <w:szCs w:val="22"/>
          <w:rtl w:val="0"/>
        </w:rPr>
        <w:t xml:space="preserve">• Interruptores de nivel máximo y mínimo: [PENDIENTE: confirmar si el sistema cuenta con interruptores de nivel en los tanques]</w:t>
      </w:r>
      <w:r w:rsidDel="00000000" w:rsidR="00000000" w:rsidRPr="00000000">
        <w:rPr>
          <w:rtl w:val="0"/>
        </w:rPr>
      </w:r>
    </w:p>
    <w:p w:rsidR="00000000" w:rsidDel="00000000" w:rsidP="00000000" w:rsidRDefault="00000000" w:rsidRPr="00000000" w14:paraId="00000070">
      <w:pPr>
        <w:spacing w:after="160" w:line="259" w:lineRule="auto"/>
        <w:jc w:val="both"/>
        <w:rPr/>
      </w:pPr>
      <w:r w:rsidDel="00000000" w:rsidR="00000000" w:rsidRPr="00000000">
        <w:rPr>
          <w:rFonts w:ascii="Tahoma" w:cs="Tahoma" w:eastAsia="Tahoma" w:hAnsi="Tahoma"/>
          <w:color w:val="000000"/>
          <w:sz w:val="22"/>
          <w:szCs w:val="22"/>
          <w:rtl w:val="0"/>
        </w:rPr>
        <w:t xml:space="preserve">• Generador eléctrico de respaldo: [PENDIENTE: confirmar existencia y capacidad en kVA del generador de respaldo]</w:t>
      </w:r>
      <w:r w:rsidDel="00000000" w:rsidR="00000000" w:rsidRPr="00000000">
        <w:rPr>
          <w:rtl w:val="0"/>
        </w:rPr>
      </w:r>
    </w:p>
    <w:p w:rsidR="00000000" w:rsidDel="00000000" w:rsidP="00000000" w:rsidRDefault="00000000" w:rsidRPr="00000000" w14:paraId="00000071">
      <w:pPr>
        <w:spacing w:after="160" w:line="259" w:lineRule="auto"/>
        <w:jc w:val="both"/>
        <w:rPr/>
      </w:pPr>
      <w:r w:rsidDel="00000000" w:rsidR="00000000" w:rsidRPr="00000000">
        <w:rPr>
          <w:rFonts w:ascii="Tahoma" w:cs="Tahoma" w:eastAsia="Tahoma" w:hAnsi="Tahoma"/>
          <w:color w:val="000000"/>
          <w:sz w:val="22"/>
          <w:szCs w:val="22"/>
          <w:rtl w:val="0"/>
        </w:rPr>
        <w:t xml:space="preserve">• Válvula de pie: [PENDIENTE: confirmar existencia de válvula de pie en la línea de succión de distribución]</w:t>
      </w:r>
      <w:r w:rsidDel="00000000" w:rsidR="00000000" w:rsidRPr="00000000">
        <w:rPr>
          <w:rtl w:val="0"/>
        </w:rPr>
      </w:r>
    </w:p>
    <w:p w:rsidR="00000000" w:rsidDel="00000000" w:rsidP="00000000" w:rsidRDefault="00000000" w:rsidRPr="00000000" w14:paraId="00000072">
      <w:pPr>
        <w:spacing w:after="160" w:line="259" w:lineRule="auto"/>
        <w:jc w:val="both"/>
        <w:rPr/>
      </w:pPr>
      <w:r w:rsidDel="00000000" w:rsidR="00000000" w:rsidRPr="00000000">
        <w:rPr>
          <w:rFonts w:ascii="Tahoma" w:cs="Tahoma" w:eastAsia="Tahoma" w:hAnsi="Tahoma"/>
          <w:color w:val="000000"/>
          <w:sz w:val="22"/>
          <w:szCs w:val="22"/>
          <w:rtl w:val="0"/>
        </w:rPr>
        <w:t xml:space="preserve">• Floculador: [PENDIENTE: tipo (hidráulico o mecánico) y capacidad del floculador]</w:t>
      </w:r>
      <w:r w:rsidDel="00000000" w:rsidR="00000000" w:rsidRPr="00000000">
        <w:rPr>
          <w:rtl w:val="0"/>
        </w:rPr>
      </w:r>
    </w:p>
    <w:p w:rsidR="00000000" w:rsidDel="00000000" w:rsidP="00000000" w:rsidRDefault="00000000" w:rsidRPr="00000000" w14:paraId="00000073">
      <w:pPr>
        <w:spacing w:after="160" w:line="259" w:lineRule="auto"/>
        <w:jc w:val="both"/>
        <w:rPr/>
      </w:pPr>
      <w:r w:rsidDel="00000000" w:rsidR="00000000" w:rsidRPr="00000000">
        <w:rPr>
          <w:rFonts w:ascii="Tahoma" w:cs="Tahoma" w:eastAsia="Tahoma" w:hAnsi="Tahoma"/>
          <w:color w:val="000000"/>
          <w:sz w:val="22"/>
          <w:szCs w:val="22"/>
          <w:rtl w:val="0"/>
        </w:rPr>
        <w:t xml:space="preserve">• Sedimentador: [PENDIENTE: tipo y capacidad del sedimentador]</w:t>
      </w:r>
      <w:r w:rsidDel="00000000" w:rsidR="00000000" w:rsidRPr="00000000">
        <w:rPr>
          <w:rtl w:val="0"/>
        </w:rPr>
      </w:r>
    </w:p>
    <w:p w:rsidR="00000000" w:rsidDel="00000000" w:rsidP="00000000" w:rsidRDefault="00000000" w:rsidRPr="00000000" w14:paraId="00000074">
      <w:pPr>
        <w:spacing w:after="160" w:line="259" w:lineRule="auto"/>
        <w:jc w:val="both"/>
        <w:rPr/>
      </w:pPr>
      <w:r w:rsidDel="00000000" w:rsidR="00000000" w:rsidRPr="00000000">
        <w:rPr>
          <w:rFonts w:ascii="Tahoma" w:cs="Tahoma" w:eastAsia="Tahoma" w:hAnsi="Tahoma"/>
          <w:color w:val="000000"/>
          <w:sz w:val="22"/>
          <w:szCs w:val="22"/>
          <w:rtl w:val="0"/>
        </w:rPr>
        <w:t xml:space="preserve">• Filtros: [PENDIENTE: número, tipo (grava, arena, carbón activado) y capacidad de los filtros]</w:t>
      </w:r>
      <w:r w:rsidDel="00000000" w:rsidR="00000000" w:rsidRPr="00000000">
        <w:rPr>
          <w:rtl w:val="0"/>
        </w:rPr>
      </w:r>
    </w:p>
    <w:p w:rsidR="00000000" w:rsidDel="00000000" w:rsidP="00000000" w:rsidRDefault="00000000" w:rsidRPr="00000000" w14:paraId="00000075">
      <w:pPr>
        <w:spacing w:after="160" w:line="259" w:lineRule="auto"/>
        <w:jc w:val="both"/>
        <w:rPr/>
      </w:pPr>
      <w:r w:rsidDel="00000000" w:rsidR="00000000" w:rsidRPr="00000000">
        <w:rPr>
          <w:rFonts w:ascii="Tahoma" w:cs="Tahoma" w:eastAsia="Tahoma" w:hAnsi="Tahoma"/>
          <w:color w:val="000000"/>
          <w:sz w:val="22"/>
          <w:szCs w:val="22"/>
          <w:rtl w:val="0"/>
        </w:rPr>
        <w:t xml:space="preserve">• Dosificador de cloro: [PENDIENTE: tipo de dosificador y producto químico de desinfección utilizado]</w:t>
      </w:r>
      <w:r w:rsidDel="00000000" w:rsidR="00000000" w:rsidRPr="00000000">
        <w:rPr>
          <w:rtl w:val="0"/>
        </w:rPr>
      </w:r>
    </w:p>
    <w:p w:rsidR="00000000" w:rsidDel="00000000" w:rsidP="00000000" w:rsidRDefault="00000000" w:rsidRPr="00000000" w14:paraId="00000076">
      <w:pPr>
        <w:spacing w:after="160" w:line="259" w:lineRule="auto"/>
        <w:jc w:val="both"/>
        <w:rPr/>
      </w:pPr>
      <w:r w:rsidDel="00000000" w:rsidR="00000000" w:rsidRPr="00000000">
        <w:rPr>
          <w:rFonts w:ascii="Tahoma" w:cs="Tahoma" w:eastAsia="Tahoma" w:hAnsi="Tahoma"/>
          <w:color w:val="000000"/>
          <w:sz w:val="22"/>
          <w:szCs w:val="22"/>
          <w:rtl w:val="0"/>
        </w:rPr>
        <w:t xml:space="preserve">• Tanque de contacto: [PENDIENTE: capacidad en m³ del tanque de contacto de desinfección]</w:t>
      </w:r>
      <w:r w:rsidDel="00000000" w:rsidR="00000000" w:rsidRPr="00000000">
        <w:rPr>
          <w:rtl w:val="0"/>
        </w:rPr>
      </w:r>
    </w:p>
    <w:p w:rsidR="00000000" w:rsidDel="00000000" w:rsidP="00000000" w:rsidRDefault="00000000" w:rsidRPr="00000000" w14:paraId="00000077">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6. Sistema de tratamiento, almacenamiento y distribución</w:t>
      </w:r>
      <w:r w:rsidDel="00000000" w:rsidR="00000000" w:rsidRPr="00000000">
        <w:rPr>
          <w:rtl w:val="0"/>
        </w:rPr>
      </w:r>
    </w:p>
    <w:tbl>
      <w:tblPr>
        <w:tblStyle w:val="Table8"/>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78">
            <w:pPr>
              <w:jc w:val="center"/>
              <w:rPr/>
            </w:pPr>
            <w:r w:rsidDel="00000000" w:rsidR="00000000" w:rsidRPr="00000000">
              <w:rPr/>
              <w:drawing>
                <wp:inline distB="0" distT="0" distL="0" distR="0">
                  <wp:extent cx="4762500" cy="3571875"/>
                  <wp:effectExtent b="0" l="0" r="0" t="0"/>
                  <wp:docPr id="2" name="image5.jpg"/>
                  <a:graphic>
                    <a:graphicData uri="http://schemas.openxmlformats.org/drawingml/2006/picture">
                      <pic:pic>
                        <pic:nvPicPr>
                          <pic:cNvPr id="0" name="image5.jpg"/>
                          <pic:cNvPicPr preferRelativeResize="0"/>
                        </pic:nvPicPr>
                        <pic:blipFill>
                          <a:blip r:embed="rId10"/>
                          <a:srcRect b="0" l="0" r="0" t="0"/>
                          <a:stretch>
                            <a:fillRect/>
                          </a:stretch>
                        </pic:blipFill>
                        <pic:spPr>
                          <a:xfrm>
                            <a:off x="0" y="0"/>
                            <a:ext cx="4762500" cy="357187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79">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7A">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1.6 COSTOS DEL PROYECTO</w:t>
      </w:r>
      <w:r w:rsidDel="00000000" w:rsidR="00000000" w:rsidRPr="00000000">
        <w:rPr>
          <w:rtl w:val="0"/>
        </w:rPr>
      </w:r>
    </w:p>
    <w:p w:rsidR="00000000" w:rsidDel="00000000" w:rsidP="00000000" w:rsidRDefault="00000000" w:rsidRPr="00000000" w14:paraId="0000007B">
      <w:pPr>
        <w:spacing w:after="160" w:line="259" w:lineRule="auto"/>
        <w:jc w:val="both"/>
        <w:rPr/>
      </w:pPr>
      <w:r w:rsidDel="00000000" w:rsidR="00000000" w:rsidRPr="00000000">
        <w:rPr>
          <w:rFonts w:ascii="Tahoma" w:cs="Tahoma" w:eastAsia="Tahoma" w:hAnsi="Tahoma"/>
          <w:color w:val="000000"/>
          <w:sz w:val="22"/>
          <w:szCs w:val="22"/>
          <w:rtl w:val="0"/>
        </w:rPr>
        <w:t xml:space="preserve">En la siguiente tabla se relacionan los costos de inversión y operación proyectados, para la ejecución y desarrollo del proyecto.</w:t>
      </w:r>
      <w:r w:rsidDel="00000000" w:rsidR="00000000" w:rsidRPr="00000000">
        <w:rPr>
          <w:rtl w:val="0"/>
        </w:rPr>
      </w:r>
    </w:p>
    <w:p w:rsidR="00000000" w:rsidDel="00000000" w:rsidP="00000000" w:rsidRDefault="00000000" w:rsidRPr="00000000" w14:paraId="0000007C">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Tabla 3. Costos del proyecto</w:t>
      </w:r>
      <w:r w:rsidDel="00000000" w:rsidR="00000000" w:rsidRPr="00000000">
        <w:rPr>
          <w:rtl w:val="0"/>
        </w:rPr>
      </w:r>
    </w:p>
    <w:tbl>
      <w:tblPr>
        <w:tblStyle w:val="Table9"/>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552"/>
        <w:gridCol w:w="2808"/>
        <w:tblGridChange w:id="0">
          <w:tblGrid>
            <w:gridCol w:w="6552"/>
            <w:gridCol w:w="2808"/>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7D">
            <w:pPr>
              <w:jc w:val="center"/>
              <w:rPr/>
            </w:pPr>
            <w:r w:rsidDel="00000000" w:rsidR="00000000" w:rsidRPr="00000000">
              <w:rPr>
                <w:rFonts w:ascii="Tahoma" w:cs="Tahoma" w:eastAsia="Tahoma" w:hAnsi="Tahoma"/>
                <w:b w:val="1"/>
                <w:bCs w:val="1"/>
                <w:color w:val="000000"/>
                <w:sz w:val="22"/>
                <w:szCs w:val="22"/>
                <w:rtl w:val="0"/>
              </w:rPr>
              <w:t xml:space="preserve">COSTOS DEL PROYECTO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7E">
            <w:pPr>
              <w:jc w:val="left"/>
              <w:rPr/>
            </w:pPr>
            <w:r w:rsidDel="00000000" w:rsidR="00000000" w:rsidRPr="00000000">
              <w:rPr>
                <w:rtl w:val="0"/>
              </w:rPr>
            </w:r>
          </w:p>
        </w:tc>
      </w:tr>
      <w:tr>
        <w:trPr>
          <w:cantSplit w:val="0"/>
          <w:tblHeader w:val="0"/>
        </w:trPr>
        <w:tc>
          <w:tcPr>
            <w:shd w:fill="d9d9d9" w:val="clear"/>
            <w:tcMar>
              <w:top w:w="80.0" w:type="dxa"/>
              <w:left w:w="120.0" w:type="dxa"/>
              <w:bottom w:w="80.0" w:type="dxa"/>
              <w:right w:w="120.0" w:type="dxa"/>
            </w:tcMar>
          </w:tcPr>
          <w:p w:rsidR="00000000" w:rsidDel="00000000" w:rsidP="00000000" w:rsidRDefault="00000000" w:rsidRPr="00000000" w14:paraId="0000007F">
            <w:pPr>
              <w:jc w:val="center"/>
              <w:rPr/>
            </w:pPr>
            <w:r w:rsidDel="00000000" w:rsidR="00000000" w:rsidRPr="00000000">
              <w:rPr>
                <w:rFonts w:ascii="Tahoma" w:cs="Tahoma" w:eastAsia="Tahoma" w:hAnsi="Tahoma"/>
                <w:b w:val="1"/>
                <w:bCs w:val="1"/>
                <w:color w:val="000000"/>
                <w:sz w:val="22"/>
                <w:szCs w:val="22"/>
                <w:rtl w:val="0"/>
              </w:rPr>
              <w:t xml:space="preserve">CONCEPTO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80">
            <w:pPr>
              <w:jc w:val="center"/>
              <w:rPr/>
            </w:pPr>
            <w:r w:rsidDel="00000000" w:rsidR="00000000" w:rsidRPr="00000000">
              <w:rPr>
                <w:rFonts w:ascii="Tahoma" w:cs="Tahoma" w:eastAsia="Tahoma" w:hAnsi="Tahoma"/>
                <w:b w:val="1"/>
                <w:bCs w:val="1"/>
                <w:color w:val="000000"/>
                <w:sz w:val="22"/>
                <w:szCs w:val="22"/>
                <w:rtl w:val="0"/>
              </w:rPr>
              <w:t xml:space="preserve">COSTOS</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1">
            <w:pPr>
              <w:jc w:val="left"/>
              <w:rPr/>
            </w:pPr>
            <w:r w:rsidDel="00000000" w:rsidR="00000000" w:rsidRPr="00000000">
              <w:rPr>
                <w:rFonts w:ascii="Tahoma" w:cs="Tahoma" w:eastAsia="Tahoma" w:hAnsi="Tahoma"/>
                <w:color w:val="000000"/>
                <w:sz w:val="22"/>
                <w:szCs w:val="22"/>
                <w:rtl w:val="0"/>
              </w:rPr>
              <w:t xml:space="preserve">1. COSTOS DE INVERSIÓN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2">
            <w:pPr>
              <w:jc w:val="right"/>
              <w:rPr/>
            </w:pP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3">
            <w:pPr>
              <w:jc w:val="left"/>
              <w:rPr/>
            </w:pPr>
            <w:r w:rsidDel="00000000" w:rsidR="00000000" w:rsidRPr="00000000">
              <w:rPr>
                <w:rFonts w:ascii="Tahoma" w:cs="Tahoma" w:eastAsia="Tahoma" w:hAnsi="Tahoma"/>
                <w:color w:val="000000"/>
                <w:sz w:val="22"/>
                <w:szCs w:val="22"/>
                <w:rtl w:val="0"/>
              </w:rPr>
              <w:t xml:space="preserve">1.1 Adquisición de materiales, equipos e insumos requeridos</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4">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5">
            <w:pPr>
              <w:jc w:val="left"/>
              <w:rPr/>
            </w:pPr>
            <w:r w:rsidDel="00000000" w:rsidR="00000000" w:rsidRPr="00000000">
              <w:rPr>
                <w:rFonts w:ascii="Tahoma" w:cs="Tahoma" w:eastAsia="Tahoma" w:hAnsi="Tahoma"/>
                <w:color w:val="000000"/>
                <w:sz w:val="22"/>
                <w:szCs w:val="22"/>
                <w:rtl w:val="0"/>
              </w:rPr>
              <w:t xml:space="preserve">1.2 Montaje de infraestructuras</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6">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7">
            <w:pPr>
              <w:jc w:val="left"/>
              <w:rPr/>
            </w:pPr>
            <w:r w:rsidDel="00000000" w:rsidR="00000000" w:rsidRPr="00000000">
              <w:rPr>
                <w:rFonts w:ascii="Tahoma" w:cs="Tahoma" w:eastAsia="Tahoma" w:hAnsi="Tahoma"/>
                <w:color w:val="000000"/>
                <w:sz w:val="22"/>
                <w:szCs w:val="22"/>
                <w:rtl w:val="0"/>
              </w:rPr>
              <w:t xml:space="preserve">1.3 Mano de obra</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8">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9">
            <w:pPr>
              <w:jc w:val="left"/>
              <w:rPr/>
            </w:pPr>
            <w:r w:rsidDel="00000000" w:rsidR="00000000" w:rsidRPr="00000000">
              <w:rPr>
                <w:rFonts w:ascii="Tahoma" w:cs="Tahoma" w:eastAsia="Tahoma" w:hAnsi="Tahoma"/>
                <w:color w:val="000000"/>
                <w:sz w:val="22"/>
                <w:szCs w:val="22"/>
                <w:rtl w:val="0"/>
              </w:rPr>
              <w:t xml:space="preserve">1.4 Demás costos de inversión para beneficio económico del propietario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A">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B">
            <w:pPr>
              <w:jc w:val="left"/>
              <w:rPr/>
            </w:pPr>
            <w:r w:rsidDel="00000000" w:rsidR="00000000" w:rsidRPr="00000000">
              <w:rPr>
                <w:rFonts w:ascii="Tahoma" w:cs="Tahoma" w:eastAsia="Tahoma" w:hAnsi="Tahoma"/>
                <w:color w:val="000000"/>
                <w:sz w:val="22"/>
                <w:szCs w:val="22"/>
                <w:rtl w:val="0"/>
              </w:rPr>
              <w:t xml:space="preserve">TOTAL COSTOS DE INVERSIÓN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C">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D">
            <w:pPr>
              <w:jc w:val="left"/>
              <w:rPr/>
            </w:pPr>
            <w:r w:rsidDel="00000000" w:rsidR="00000000" w:rsidRPr="00000000">
              <w:rPr>
                <w:rFonts w:ascii="Tahoma" w:cs="Tahoma" w:eastAsia="Tahoma" w:hAnsi="Tahoma"/>
                <w:color w:val="000000"/>
                <w:sz w:val="22"/>
                <w:szCs w:val="22"/>
                <w:rtl w:val="0"/>
              </w:rPr>
              <w:t xml:space="preserve">2. COSTOS DE OPERACIÓN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E">
            <w:pPr>
              <w:jc w:val="right"/>
              <w:rPr/>
            </w:pP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F">
            <w:pPr>
              <w:jc w:val="left"/>
              <w:rPr/>
            </w:pPr>
            <w:r w:rsidDel="00000000" w:rsidR="00000000" w:rsidRPr="00000000">
              <w:rPr>
                <w:rFonts w:ascii="Tahoma" w:cs="Tahoma" w:eastAsia="Tahoma" w:hAnsi="Tahoma"/>
                <w:color w:val="000000"/>
                <w:sz w:val="22"/>
                <w:szCs w:val="22"/>
                <w:rtl w:val="0"/>
              </w:rPr>
              <w:t xml:space="preserve">2.1 Insumos requeridos para la operación del proyecto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0">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91">
            <w:pPr>
              <w:jc w:val="left"/>
              <w:rPr/>
            </w:pPr>
            <w:r w:rsidDel="00000000" w:rsidR="00000000" w:rsidRPr="00000000">
              <w:rPr>
                <w:rFonts w:ascii="Tahoma" w:cs="Tahoma" w:eastAsia="Tahoma" w:hAnsi="Tahoma"/>
                <w:color w:val="000000"/>
                <w:sz w:val="22"/>
                <w:szCs w:val="22"/>
                <w:rtl w:val="0"/>
              </w:rPr>
              <w:t xml:space="preserve">2.2 Mano de obra calificada y no calificada (administración, operación y mantenimiento)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2">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93">
            <w:pPr>
              <w:jc w:val="left"/>
              <w:rPr/>
            </w:pPr>
            <w:r w:rsidDel="00000000" w:rsidR="00000000" w:rsidRPr="00000000">
              <w:rPr>
                <w:rFonts w:ascii="Tahoma" w:cs="Tahoma" w:eastAsia="Tahoma" w:hAnsi="Tahoma"/>
                <w:color w:val="000000"/>
                <w:sz w:val="22"/>
                <w:szCs w:val="22"/>
                <w:rtl w:val="0"/>
              </w:rPr>
              <w:t xml:space="preserve">2.3 Arrendamientos, servicios públicos, seguros y otros</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4">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95">
            <w:pPr>
              <w:jc w:val="left"/>
              <w:rPr/>
            </w:pPr>
            <w:r w:rsidDel="00000000" w:rsidR="00000000" w:rsidRPr="00000000">
              <w:rPr>
                <w:rFonts w:ascii="Tahoma" w:cs="Tahoma" w:eastAsia="Tahoma" w:hAnsi="Tahoma"/>
                <w:color w:val="000000"/>
                <w:sz w:val="22"/>
                <w:szCs w:val="22"/>
                <w:rtl w:val="0"/>
              </w:rPr>
              <w:t xml:space="preserve">2.4 Demás costos y gastos de operación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6">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97">
            <w:pPr>
              <w:jc w:val="left"/>
              <w:rPr/>
            </w:pPr>
            <w:r w:rsidDel="00000000" w:rsidR="00000000" w:rsidRPr="00000000">
              <w:rPr>
                <w:rFonts w:ascii="Tahoma" w:cs="Tahoma" w:eastAsia="Tahoma" w:hAnsi="Tahoma"/>
                <w:color w:val="000000"/>
                <w:sz w:val="22"/>
                <w:szCs w:val="22"/>
                <w:rtl w:val="0"/>
              </w:rPr>
              <w:t xml:space="preserve">TOTAL COSTOS DE OPERACIÓN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8">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99">
            <w:pPr>
              <w:jc w:val="left"/>
              <w:rPr/>
            </w:pPr>
            <w:r w:rsidDel="00000000" w:rsidR="00000000" w:rsidRPr="00000000">
              <w:rPr>
                <w:rFonts w:ascii="Tahoma" w:cs="Tahoma" w:eastAsia="Tahoma" w:hAnsi="Tahoma"/>
                <w:color w:val="000000"/>
                <w:sz w:val="22"/>
                <w:szCs w:val="22"/>
                <w:rtl w:val="0"/>
              </w:rPr>
              <w:t xml:space="preserve">COSTO TOTAL DEL PROYECTO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A">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bl>
    <w:p w:rsidR="00000000" w:rsidDel="00000000" w:rsidP="00000000" w:rsidRDefault="00000000" w:rsidRPr="00000000" w14:paraId="0000009B">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sectPr>
      <w:headerReference r:id="rId11" w:type="default"/>
      <w:footerReference r:id="rId12"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ahoma">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D">
    <w:pPr>
      <w:jc w:val="center"/>
      <w:rPr/>
    </w:pPr>
    <w:r w:rsidDel="00000000" w:rsidR="00000000" w:rsidRPr="00000000">
      <w:rPr>
        <w:rFonts w:ascii="Tahoma" w:cs="Tahoma" w:eastAsia="Tahoma" w:hAnsi="Tahoma"/>
        <w:color w:val="555555"/>
        <w:sz w:val="18"/>
        <w:szCs w:val="18"/>
        <w:rtl w:val="0"/>
      </w:rPr>
      <w:t xml:space="preserve">Página </w:t>
    </w:r>
    <w:r w:rsidDel="00000000" w:rsidR="00000000" w:rsidRPr="00000000">
      <w:rPr>
        <w:rFonts w:ascii="Tahoma" w:cs="Tahoma" w:eastAsia="Tahoma" w:hAnsi="Tahoma"/>
        <w:color w:val="555555"/>
        <w:sz w:val="18"/>
        <w:szCs w:val="18"/>
      </w:rPr>
      <w:fldChar w:fldCharType="begin"/>
      <w:instrText xml:space="preserve">PAGE</w:instrText>
      <w:fldChar w:fldCharType="separate"/>
      <w:fldChar w:fldCharType="end"/>
    </w:r>
    <w:r w:rsidDel="00000000" w:rsidR="00000000" w:rsidRPr="00000000">
      <w:rPr>
        <w:rFonts w:ascii="Tahoma" w:cs="Tahoma" w:eastAsia="Tahoma" w:hAnsi="Tahoma"/>
        <w:color w:val="555555"/>
        <w:sz w:val="18"/>
        <w:szCs w:val="18"/>
        <w:rtl w:val="0"/>
      </w:rPr>
      <w:t xml:space="preserve"> de </w:t>
    </w:r>
    <w:r w:rsidDel="00000000" w:rsidR="00000000" w:rsidRPr="00000000">
      <w:rPr>
        <w:rFonts w:ascii="Tahoma" w:cs="Tahoma" w:eastAsia="Tahoma" w:hAnsi="Tahoma"/>
        <w:color w:val="555555"/>
        <w:sz w:val="18"/>
        <w:szCs w:val="18"/>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C">
    <w:pPr>
      <w:spacing w:after="0" w:lineRule="auto"/>
      <w:jc w:val="right"/>
      <w:rPr/>
    </w:pPr>
    <w:r w:rsidDel="00000000" w:rsidR="00000000" w:rsidRPr="00000000">
      <w:rPr>
        <w:rFonts w:ascii="Tahoma" w:cs="Tahoma" w:eastAsia="Tahoma" w:hAnsi="Tahoma"/>
        <w:b w:val="1"/>
        <w:bCs w:val="1"/>
        <w:color w:val="555555"/>
        <w:sz w:val="18"/>
        <w:szCs w:val="18"/>
        <w:rtl w:val="0"/>
      </w:rPr>
      <w:t xml:space="preserve">SOLICITUD CONCESIÓN DE AGUAS — Granja Avícola Jamaica</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ahoma" w:cs="Tahoma" w:eastAsia="Tahoma" w:hAnsi="Tahoma"/>
        <w:sz w:val="22"/>
        <w:szCs w:val="22"/>
        <w:lang w:val="es-CO"/>
      </w:rPr>
    </w:rPrDefault>
    <w:pPrDefault>
      <w:pP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0" w:right="0" w:firstLine="0"/>
      <w:jc w:val="both"/>
    </w:pPr>
    <w:rPr>
      <w:rFonts w:ascii="Tahoma" w:cs="Tahoma" w:eastAsia="Tahoma" w:hAnsi="Tahoma"/>
      <w:b w:val="1"/>
      <w:bCs w:val="1"/>
      <w:i w:val="0"/>
      <w:iCs w:val="0"/>
      <w:smallCaps w:val="1"/>
      <w:strike w:val="0"/>
      <w:color w:val="000000"/>
      <w:sz w:val="24"/>
      <w:szCs w:val="24"/>
      <w:u w:val="none"/>
      <w:shd w:fill="auto" w:val="clear"/>
      <w:vertAlign w:val="baseline"/>
    </w:rPr>
  </w:style>
  <w:style w:type="paragraph" w:styleId="Heading2">
    <w:name w:val="heading 2"/>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160" w:line="240" w:lineRule="auto"/>
      <w:ind w:left="0" w:right="0" w:firstLine="0"/>
      <w:jc w:val="both"/>
    </w:pPr>
    <w:rPr>
      <w:rFonts w:ascii="Tahoma" w:cs="Tahoma" w:eastAsia="Tahoma" w:hAnsi="Tahoma"/>
      <w:b w:val="1"/>
      <w:bCs w:val="1"/>
      <w:i w:val="0"/>
      <w:iCs w:val="0"/>
      <w:smallCaps w:val="0"/>
      <w:strike w:val="0"/>
      <w:color w:val="000000"/>
      <w:sz w:val="22"/>
      <w:szCs w:val="22"/>
      <w:u w:val="none"/>
      <w:shd w:fill="auto" w:val="clear"/>
      <w:vertAlign w:val="baseline"/>
    </w:rPr>
  </w:style>
  <w:style w:type="paragraph" w:styleId="Heading3">
    <w:name w:val="heading 3"/>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160" w:line="240" w:lineRule="auto"/>
      <w:ind w:left="0" w:right="0" w:firstLine="0"/>
      <w:jc w:val="both"/>
    </w:pPr>
    <w:rPr>
      <w:rFonts w:ascii="Tahoma" w:cs="Tahoma" w:eastAsia="Tahoma" w:hAnsi="Tahoma"/>
      <w:b w:val="1"/>
      <w:bCs w:val="1"/>
      <w:i w:val="1"/>
      <w:iCs w:val="1"/>
      <w:smallCaps w:val="0"/>
      <w:strike w:val="0"/>
      <w:color w:val="000000"/>
      <w:sz w:val="20"/>
      <w:szCs w:val="20"/>
      <w:u w:val="none"/>
      <w:shd w:fill="auto" w:val="clear"/>
      <w:vertAlign w:val="baseline"/>
    </w:rPr>
  </w:style>
  <w:style w:type="paragraph" w:styleId="Heading4">
    <w:name w:val="heading 4"/>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1"/>
      <w:iCs w:val="1"/>
      <w:smallCaps w:val="0"/>
      <w:strike w:val="0"/>
      <w:color w:val="2e74b5"/>
      <w:sz w:val="22"/>
      <w:szCs w:val="22"/>
      <w:u w:val="none"/>
      <w:shd w:fill="auto" w:val="clear"/>
      <w:vertAlign w:val="baseline"/>
    </w:rPr>
  </w:style>
  <w:style w:type="paragraph" w:styleId="Heading5">
    <w:name w:val="heading 5"/>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2e74b5"/>
      <w:sz w:val="22"/>
      <w:szCs w:val="22"/>
      <w:u w:val="none"/>
      <w:shd w:fill="auto" w:val="clear"/>
      <w:vertAlign w:val="baseline"/>
    </w:rPr>
  </w:style>
  <w:style w:type="paragraph" w:styleId="Heading6">
    <w:name w:val="heading 6"/>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1f4d78"/>
      <w:sz w:val="22"/>
      <w:szCs w:val="22"/>
      <w:u w:val="none"/>
      <w:shd w:fill="auto" w:val="clear"/>
      <w:vertAlign w:val="baseline"/>
    </w:rPr>
  </w:style>
  <w:style w:type="paragraph" w:styleId="Title">
    <w:name w:val="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000000"/>
      <w:sz w:val="56"/>
      <w:szCs w:val="56"/>
      <w:u w:val="none"/>
      <w:shd w:fill="auto" w:val="clear"/>
      <w:vertAlign w:val="baselin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image" Target="media/image5.jpg"/><Relationship Id="rId12" Type="http://schemas.openxmlformats.org/officeDocument/2006/relationships/footer" Target="footer1.xml"/><Relationship Id="rId9" Type="http://schemas.openxmlformats.org/officeDocument/2006/relationships/image" Target="media/image2.jpg"/><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4.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